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FA1F9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0DD5C02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88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淄博市工业和信息化局</w:t>
      </w:r>
    </w:p>
    <w:p w14:paraId="753ED27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88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2022年政府信息公开工作年度报告</w:t>
      </w:r>
    </w:p>
    <w:p w14:paraId="6A6CF98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1744129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本年度报告中所列数据的统计期限自2022年1月1日起，至2022年12月31日止。如对报告内容有疑问，请与淄博市工业和信息化局联系（地址：淄博市张店区柳泉路63号；邮编：255000；电话：0533-3182068；邮箱：gxjbgs@zb.shandong.cn）。</w:t>
      </w:r>
    </w:p>
    <w:p w14:paraId="3AB7BCC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jc w:val="both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一、总体情况</w:t>
      </w:r>
    </w:p>
    <w:p w14:paraId="666C87E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为保障公民、法人和其他组织依法获取政府信息，提高政府工作的透明度，2022年，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市工信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局坚持以习近平新时代中国特色社会主义思想为指导，全面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学习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贯彻党的二十大精神，深入落实国务院和省、市政府关于全面推进政务公开工作的部署要求，借助报纸、电视、网络等媒体的作用，大力推进政府信息公开工作，强化政策解读，回应社会关切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。</w:t>
      </w:r>
    </w:p>
    <w:p w14:paraId="12879AB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（一）</w:t>
      </w:r>
      <w:r>
        <w:rPr>
          <w:rFonts w:hint="eastAsia" w:ascii="Times New Roman" w:hAnsi="Times New Roman" w:eastAsia="楷体_GB2312" w:cs="Times New Roman"/>
          <w:sz w:val="32"/>
          <w:szCs w:val="32"/>
          <w:lang w:val="en-US" w:eastAsia="zh-CN"/>
        </w:rPr>
        <w:t>高质完成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主动公开</w:t>
      </w:r>
      <w:r>
        <w:rPr>
          <w:rFonts w:hint="eastAsia" w:ascii="Times New Roman" w:hAnsi="Times New Roman" w:eastAsia="楷体_GB2312" w:cs="Times New Roman"/>
          <w:sz w:val="32"/>
          <w:szCs w:val="32"/>
          <w:lang w:val="en-US" w:eastAsia="zh-CN"/>
        </w:rPr>
        <w:t>工作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。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根据市工信局工作实际，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制定《2022年度政务公开工作实施方案》，进一步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修订政府信息公开指南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，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及时更新机构职能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2022年，局网站主动公开政府信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息148条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制定并颁布规范性文件《淄博市智能网联汽车道路测试与示范管理试行办法》和其他文件，并运用媒体、图片等多种形式进行解读。全面开展财政预决算信息公开工作，局机关及下属事业单位及时公开2021年度决算报告和2022年度预算报告。</w:t>
      </w:r>
    </w:p>
    <w:p w14:paraId="0FD4F5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（二）</w:t>
      </w:r>
      <w:r>
        <w:rPr>
          <w:rFonts w:hint="eastAsia" w:ascii="Times New Roman" w:hAnsi="Times New Roman" w:eastAsia="楷体_GB2312" w:cs="Times New Roman"/>
          <w:sz w:val="32"/>
          <w:szCs w:val="32"/>
          <w:lang w:val="en-US" w:eastAsia="zh-CN"/>
        </w:rPr>
        <w:t>积极做好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依申请公开</w:t>
      </w:r>
      <w:r>
        <w:rPr>
          <w:rFonts w:hint="eastAsia" w:ascii="Times New Roman" w:hAnsi="Times New Roman" w:eastAsia="楷体_GB2312" w:cs="Times New Roman"/>
          <w:sz w:val="32"/>
          <w:szCs w:val="32"/>
          <w:lang w:val="en-US" w:eastAsia="zh-CN"/>
        </w:rPr>
        <w:t>工作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严格执行《政府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信息</w:t>
      </w:r>
      <w:bookmarkStart w:id="10" w:name="_GoBack"/>
      <w:bookmarkEnd w:id="10"/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公开条例》规定，按照政府信息依申请公开制度规范开展依申请公开答复工作。2022年，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市工信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局共收到及办理依申请公开3件，2件受理方式为网络申请，1件受理方式为邮件申请，较去年上升一件，均依法依规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、及时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进行答复。</w:t>
      </w:r>
    </w:p>
    <w:p w14:paraId="01CB90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drawing>
          <wp:inline distT="0" distB="0" distL="114300" distR="114300">
            <wp:extent cx="4584065" cy="2755265"/>
            <wp:effectExtent l="0" t="0" r="6985" b="6985"/>
            <wp:docPr id="1" name="图片 1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84065" cy="2755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1D63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drawing>
          <wp:inline distT="0" distB="0" distL="114300" distR="114300">
            <wp:extent cx="4584065" cy="2755265"/>
            <wp:effectExtent l="0" t="0" r="6985" b="6985"/>
            <wp:docPr id="2" name="图片 2" descr="图片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84065" cy="2755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FD675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jc w:val="both"/>
        <w:textAlignment w:val="auto"/>
        <w:rPr>
          <w:rFonts w:hint="default"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楷体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（三）</w:t>
      </w:r>
      <w:r>
        <w:rPr>
          <w:rFonts w:hint="eastAsia" w:ascii="Times New Roman" w:hAnsi="Times New Roman" w:eastAsia="楷体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完善</w:t>
      </w:r>
      <w:r>
        <w:rPr>
          <w:rFonts w:hint="default" w:ascii="Times New Roman" w:hAnsi="Times New Roman" w:eastAsia="楷体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政府信息管理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制定并落实《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市工业和信息化局政府信息主动公开基本目录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》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明确64项主动公开内容，逐一明确公开时限、责任分工，</w:t>
      </w:r>
      <w:r>
        <w:rPr>
          <w:rFonts w:hint="eastAsia" w:ascii="Times New Roman" w:hAnsi="Times New Roman" w:eastAsia="仿宋_GB2312" w:cs="Times New Roman"/>
          <w:i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严格执行</w:t>
      </w:r>
      <w:r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“以公开为常态、不公开为例外”</w:t>
      </w:r>
      <w:r>
        <w:rPr>
          <w:rFonts w:hint="eastAsia" w:ascii="Times New Roman" w:hAnsi="Times New Roman" w:eastAsia="仿宋_GB2312" w:cs="Times New Roman"/>
          <w:i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原则，</w:t>
      </w:r>
      <w:r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确保各项工作保质保量完成。落实“三审三校”保密审查制度，推进政务信息发布审核工作的制度化和规范化管理，确保政务信息公开的严肃性、及时性、准确性和权威性。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对出台文件的有效性进行定期审查，及时更新文件状态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，实现</w:t>
      </w:r>
      <w:r>
        <w:rPr>
          <w:rFonts w:hint="eastAsia" w:ascii="仿宋_GB2312" w:hAnsi="仿宋_GB2312" w:eastAsia="仿宋_GB2312" w:cs="仿宋_GB2312"/>
          <w:sz w:val="32"/>
          <w:szCs w:val="32"/>
        </w:rPr>
        <w:t>政府信息全生命周期管理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。</w:t>
      </w:r>
    </w:p>
    <w:p w14:paraId="196588A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（四）</w:t>
      </w:r>
      <w:r>
        <w:rPr>
          <w:rFonts w:hint="eastAsia" w:ascii="Times New Roman" w:hAnsi="Times New Roman" w:eastAsia="楷体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切实强化</w:t>
      </w:r>
      <w:r>
        <w:rPr>
          <w:rFonts w:hint="default" w:ascii="Times New Roman" w:hAnsi="Times New Roman" w:eastAsia="楷体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平台建设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完善政府网站建设，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年内</w:t>
      </w:r>
      <w:r>
        <w:rPr>
          <w:rFonts w:hint="eastAsia" w:ascii="Times New Roman" w:hAnsi="Times New Roman" w:eastAsia="仿宋_GB2312" w:cs="Times New Roman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发布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局机关门户网站信息246条，访问量达到506216人次；优化设置政府信息公开专栏，更新信息148条；着力扩大“淄博工信”微博、微信等新媒体影响力，全年编发各类信息549条，订阅人数达4719人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。完成网站问题整改，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市工信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局针对市政府办公厅通报的问题开展自查，牵头落实整改，细化工作任务，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确保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整改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到位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创新政务公开方式，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推深做实服务企业专员制度，将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政务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公开服务下沉到企业、服务到一线。</w:t>
      </w:r>
    </w:p>
    <w:p w14:paraId="69B862E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（五）监督保障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根据实际要求，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及时调整政务公开工作领导小组成员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，严格按照计划推进政务公开工作。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举办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2022年政务公开工作推进暨专题培训会议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贯彻落实省、市关于2022年政务公开工作的部署精神，推进全局政务公开工作再上新台阶。</w:t>
      </w:r>
    </w:p>
    <w:p w14:paraId="3A21C7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二、行政机关主动公开政府信息情况</w:t>
      </w:r>
    </w:p>
    <w:tbl>
      <w:tblPr>
        <w:tblStyle w:val="6"/>
        <w:tblW w:w="882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6"/>
        <w:gridCol w:w="2206"/>
        <w:gridCol w:w="2206"/>
        <w:gridCol w:w="2206"/>
      </w:tblGrid>
      <w:tr w14:paraId="2C102C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 w14:paraId="121FE516">
            <w:pPr>
              <w:widowControl/>
              <w:jc w:val="both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第二十条第（一）项</w:t>
            </w:r>
          </w:p>
        </w:tc>
      </w:tr>
      <w:tr w14:paraId="756C34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49DB61D">
            <w:pPr>
              <w:widowControl/>
              <w:jc w:val="both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0911AB4">
            <w:pPr>
              <w:widowControl/>
              <w:jc w:val="both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本年制发件数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985B6F0">
            <w:pPr>
              <w:widowControl/>
              <w:jc w:val="both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本年废止件数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CD33C1D">
            <w:pPr>
              <w:widowControl/>
              <w:jc w:val="both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现行有效件数</w:t>
            </w:r>
          </w:p>
        </w:tc>
      </w:tr>
      <w:tr w14:paraId="0678CD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26EE053">
            <w:pPr>
              <w:widowControl/>
              <w:jc w:val="both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规章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B785A71">
            <w:pPr>
              <w:widowControl/>
              <w:jc w:val="both"/>
              <w:rPr>
                <w:rFonts w:hint="default" w:ascii="仿宋_GB2312" w:hAnsi="宋体" w:eastAsia="仿宋_GB2312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167CD2F">
            <w:pPr>
              <w:widowControl/>
              <w:jc w:val="both"/>
              <w:rPr>
                <w:rFonts w:ascii="仿宋_GB2312" w:hAnsi="宋体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5409992">
            <w:pPr>
              <w:widowControl/>
              <w:jc w:val="both"/>
              <w:rPr>
                <w:rFonts w:ascii="仿宋_GB2312" w:hAnsi="Calibri" w:eastAsia="仿宋_GB2312" w:cs="Calibri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 w14:paraId="18373B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08591B6">
            <w:pPr>
              <w:widowControl/>
              <w:jc w:val="both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行政规范性文件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5F3AFB4">
            <w:pPr>
              <w:widowControl/>
              <w:jc w:val="both"/>
              <w:rPr>
                <w:rFonts w:hint="eastAsia" w:ascii="仿宋_GB2312" w:hAnsi="宋体" w:eastAsia="仿宋_GB2312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4A7E7FF">
            <w:pPr>
              <w:widowControl/>
              <w:jc w:val="both"/>
              <w:rPr>
                <w:rFonts w:hint="default" w:ascii="仿宋_GB2312" w:hAnsi="宋体" w:eastAsia="仿宋_GB2312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A465019">
            <w:pPr>
              <w:widowControl/>
              <w:jc w:val="both"/>
              <w:rPr>
                <w:rFonts w:hint="eastAsia" w:ascii="仿宋_GB2312" w:hAnsi="宋体" w:eastAsia="仿宋_GB2312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</w:tr>
      <w:tr w14:paraId="79FF7E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 w14:paraId="1C3F9E55">
            <w:pPr>
              <w:widowControl/>
              <w:jc w:val="both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第二十条第（五）项</w:t>
            </w:r>
          </w:p>
        </w:tc>
      </w:tr>
      <w:tr w14:paraId="7BD025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407C9E6">
            <w:pPr>
              <w:widowControl/>
              <w:jc w:val="both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3F204FD">
            <w:pPr>
              <w:widowControl/>
              <w:jc w:val="both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本年处理决定数量</w:t>
            </w:r>
          </w:p>
        </w:tc>
      </w:tr>
      <w:tr w14:paraId="2A31C1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707AF68">
            <w:pPr>
              <w:widowControl/>
              <w:jc w:val="both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行政许可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BA7F686">
            <w:pPr>
              <w:widowControl/>
              <w:jc w:val="both"/>
              <w:rPr>
                <w:rFonts w:hint="eastAsia" w:ascii="仿宋_GB2312" w:hAnsi="Calibri" w:eastAsia="仿宋_GB2312" w:cs="Calibri"/>
                <w:color w:val="000000"/>
                <w:kern w:val="0"/>
                <w:szCs w:val="21"/>
                <w:u w:val="single"/>
                <w:lang w:val="en-US" w:eastAsia="zh-CN"/>
              </w:rPr>
            </w:pPr>
            <w:r>
              <w:rPr>
                <w:rFonts w:hint="eastAsia" w:ascii="仿宋_GB2312" w:hAnsi="Calibri" w:eastAsia="仿宋_GB2312" w:cs="Calibri"/>
                <w:color w:val="000000" w:themeColor="text1"/>
                <w:kern w:val="0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 w14:paraId="7037AD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 w14:paraId="0B9CB4E7">
            <w:pPr>
              <w:widowControl/>
              <w:jc w:val="both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第二十条第（六）项</w:t>
            </w:r>
          </w:p>
        </w:tc>
      </w:tr>
      <w:tr w14:paraId="11CA45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F57C2F9">
            <w:pPr>
              <w:widowControl/>
              <w:jc w:val="both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116AA9F">
            <w:pPr>
              <w:widowControl/>
              <w:jc w:val="both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本年处理决定数量</w:t>
            </w:r>
          </w:p>
        </w:tc>
      </w:tr>
      <w:tr w14:paraId="659455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7C69776">
            <w:pPr>
              <w:widowControl/>
              <w:jc w:val="both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行政处罚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E5A7A38">
            <w:pPr>
              <w:widowControl/>
              <w:jc w:val="both"/>
              <w:rPr>
                <w:rFonts w:hint="eastAsia" w:ascii="仿宋_GB2312" w:hAnsi="Calibri" w:eastAsia="仿宋_GB2312" w:cs="Calibri"/>
                <w:color w:val="000000" w:themeColor="text1"/>
                <w:kern w:val="0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Calibri"/>
                <w:color w:val="000000" w:themeColor="text1"/>
                <w:kern w:val="0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 w14:paraId="0E852B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02F7552">
            <w:pPr>
              <w:widowControl/>
              <w:jc w:val="both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行政强制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27813D2">
            <w:pPr>
              <w:widowControl/>
              <w:jc w:val="both"/>
              <w:rPr>
                <w:rFonts w:hint="eastAsia" w:ascii="仿宋_GB2312" w:hAnsi="Calibri" w:eastAsia="仿宋_GB2312" w:cs="Calibri"/>
                <w:color w:val="FF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Calibri" w:eastAsia="仿宋_GB2312" w:cs="Calibri"/>
                <w:color w:val="000000" w:themeColor="text1"/>
                <w:kern w:val="0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 w14:paraId="11D1E4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 w14:paraId="60383DE9">
            <w:pPr>
              <w:widowControl/>
              <w:jc w:val="both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第二十条第（八）项</w:t>
            </w:r>
          </w:p>
        </w:tc>
      </w:tr>
      <w:tr w14:paraId="71E585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7C97A00">
            <w:pPr>
              <w:widowControl/>
              <w:jc w:val="both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F7B774B">
            <w:pPr>
              <w:widowControl/>
              <w:jc w:val="both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本年收费金额（单位：万元）</w:t>
            </w:r>
          </w:p>
        </w:tc>
      </w:tr>
      <w:tr w14:paraId="6F40E0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AD34B24">
            <w:pPr>
              <w:widowControl/>
              <w:jc w:val="both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行政事业性收费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7F8ADBA">
            <w:pPr>
              <w:widowControl/>
              <w:jc w:val="both"/>
              <w:rPr>
                <w:rFonts w:hint="eastAsia" w:ascii="仿宋_GB2312" w:hAnsi="Calibri" w:eastAsia="仿宋_GB2312" w:cs="Calibri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Calibri" w:eastAsia="仿宋_GB2312" w:cs="Calibri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</w:tbl>
    <w:p w14:paraId="78C84D81">
      <w:pPr>
        <w:widowControl/>
        <w:jc w:val="both"/>
        <w:rPr>
          <w:rFonts w:hint="eastAsia" w:ascii="仿宋_GB2312" w:hAnsi="Calibri" w:eastAsia="仿宋_GB2312" w:cs="Calibri"/>
          <w:color w:val="FF0000"/>
          <w:kern w:val="0"/>
          <w:szCs w:val="21"/>
          <w:lang w:val="en-US" w:eastAsia="zh-CN"/>
        </w:rPr>
      </w:pPr>
    </w:p>
    <w:p w14:paraId="35D818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三、收到和处理政府信息公开申请情况</w:t>
      </w:r>
    </w:p>
    <w:tbl>
      <w:tblPr>
        <w:tblStyle w:val="6"/>
        <w:tblW w:w="9541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16"/>
        <w:gridCol w:w="1701"/>
        <w:gridCol w:w="2976"/>
        <w:gridCol w:w="747"/>
        <w:gridCol w:w="5"/>
        <w:gridCol w:w="535"/>
        <w:gridCol w:w="5"/>
        <w:gridCol w:w="535"/>
        <w:gridCol w:w="720"/>
        <w:gridCol w:w="675"/>
        <w:gridCol w:w="525"/>
        <w:gridCol w:w="1"/>
        <w:gridCol w:w="700"/>
      </w:tblGrid>
      <w:tr w14:paraId="0E21412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  <w:jc w:val="center"/>
        </w:trPr>
        <w:tc>
          <w:tcPr>
            <w:tcW w:w="5093" w:type="dxa"/>
            <w:gridSpan w:val="3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121BCBF">
            <w:pPr>
              <w:widowControl/>
              <w:jc w:val="both"/>
              <w:rPr>
                <w:rFonts w:ascii="楷体_GB2312" w:hAnsi="黑体" w:eastAsia="楷体_GB2312"/>
                <w:kern w:val="0"/>
                <w:szCs w:val="21"/>
              </w:rPr>
            </w:pPr>
            <w:r>
              <w:rPr>
                <w:rFonts w:hint="eastAsia" w:ascii="楷体_GB2312" w:hAnsi="黑体" w:eastAsia="楷体_GB2312"/>
                <w:kern w:val="0"/>
                <w:szCs w:val="21"/>
              </w:rPr>
              <w:t>（本列数据的勾稽关系为：第一项加第二项之和，</w:t>
            </w:r>
          </w:p>
          <w:p w14:paraId="4B21BB12">
            <w:pPr>
              <w:widowControl/>
              <w:jc w:val="both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楷体_GB2312" w:hAnsi="黑体" w:eastAsia="楷体_GB2312"/>
                <w:kern w:val="0"/>
                <w:szCs w:val="21"/>
              </w:rPr>
              <w:t>等于第三项加第四项之和）</w:t>
            </w:r>
          </w:p>
        </w:tc>
        <w:tc>
          <w:tcPr>
            <w:tcW w:w="4448" w:type="dxa"/>
            <w:gridSpan w:val="10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3F4FCC2">
            <w:pPr>
              <w:widowControl/>
              <w:spacing w:line="320" w:lineRule="exact"/>
              <w:jc w:val="both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申请人情况</w:t>
            </w:r>
          </w:p>
        </w:tc>
      </w:tr>
      <w:tr w14:paraId="6F4C9B9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093" w:type="dxa"/>
            <w:gridSpan w:val="3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7649184">
            <w:pPr>
              <w:jc w:val="both"/>
              <w:rPr>
                <w:rFonts w:ascii="仿宋_GB2312" w:hAnsi="Times New Roman" w:eastAsia="仿宋_GB2312"/>
                <w:szCs w:val="21"/>
              </w:rPr>
            </w:pPr>
          </w:p>
        </w:tc>
        <w:tc>
          <w:tcPr>
            <w:tcW w:w="747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37D41DA">
            <w:pPr>
              <w:widowControl/>
              <w:jc w:val="both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自然人</w:t>
            </w:r>
          </w:p>
        </w:tc>
        <w:tc>
          <w:tcPr>
            <w:tcW w:w="3000" w:type="dxa"/>
            <w:gridSpan w:val="7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2F6BC2F">
            <w:pPr>
              <w:widowControl/>
              <w:spacing w:line="320" w:lineRule="exact"/>
              <w:jc w:val="both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法人或其他组织</w:t>
            </w:r>
          </w:p>
        </w:tc>
        <w:tc>
          <w:tcPr>
            <w:tcW w:w="701" w:type="dxa"/>
            <w:gridSpan w:val="2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662FA6A">
            <w:pPr>
              <w:widowControl/>
              <w:jc w:val="both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总计</w:t>
            </w:r>
          </w:p>
        </w:tc>
      </w:tr>
      <w:tr w14:paraId="24050A5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  <w:jc w:val="center"/>
        </w:trPr>
        <w:tc>
          <w:tcPr>
            <w:tcW w:w="5093" w:type="dxa"/>
            <w:gridSpan w:val="3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1403847">
            <w:pPr>
              <w:jc w:val="both"/>
              <w:rPr>
                <w:rFonts w:ascii="仿宋_GB2312" w:hAnsi="Times New Roman" w:eastAsia="仿宋_GB2312"/>
                <w:szCs w:val="21"/>
              </w:rPr>
            </w:pPr>
          </w:p>
        </w:tc>
        <w:tc>
          <w:tcPr>
            <w:tcW w:w="747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3CAD1F9">
            <w:pPr>
              <w:jc w:val="both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73E5888">
            <w:pPr>
              <w:widowControl/>
              <w:spacing w:line="320" w:lineRule="exact"/>
              <w:ind w:left="-106" w:leftChars="-51" w:right="-107" w:rightChars="-51" w:hanging="1"/>
              <w:jc w:val="both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商业企业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36E52FE">
            <w:pPr>
              <w:widowControl/>
              <w:spacing w:line="320" w:lineRule="exact"/>
              <w:ind w:left="-107" w:leftChars="-51" w:right="-107" w:rightChars="-51"/>
              <w:jc w:val="both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科研机构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0F26ABE">
            <w:pPr>
              <w:widowControl/>
              <w:spacing w:line="320" w:lineRule="exact"/>
              <w:ind w:left="-107" w:leftChars="-51" w:right="-107" w:rightChars="-51"/>
              <w:jc w:val="both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社会公益组织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740F48C">
            <w:pPr>
              <w:widowControl/>
              <w:spacing w:line="320" w:lineRule="exact"/>
              <w:ind w:left="-106" w:leftChars="-51" w:right="-107" w:rightChars="-51" w:hanging="1"/>
              <w:jc w:val="both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法律服务机构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5A40584">
            <w:pPr>
              <w:widowControl/>
              <w:spacing w:line="360" w:lineRule="exact"/>
              <w:ind w:left="-63" w:leftChars="-30" w:right="-134" w:rightChars="-64"/>
              <w:jc w:val="both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其他</w:t>
            </w:r>
          </w:p>
        </w:tc>
        <w:tc>
          <w:tcPr>
            <w:tcW w:w="701" w:type="dxa"/>
            <w:gridSpan w:val="2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54AD0FB">
            <w:pPr>
              <w:jc w:val="both"/>
              <w:rPr>
                <w:rFonts w:ascii="仿宋_GB2312" w:hAnsi="Times New Roman" w:eastAsia="仿宋_GB2312"/>
                <w:szCs w:val="21"/>
              </w:rPr>
            </w:pPr>
          </w:p>
        </w:tc>
      </w:tr>
      <w:tr w14:paraId="3E49B0D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5093" w:type="dxa"/>
            <w:gridSpan w:val="3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34F4314">
            <w:pPr>
              <w:widowControl/>
              <w:jc w:val="both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一、</w:t>
            </w:r>
            <w:bookmarkStart w:id="0" w:name="_Hlk66973412"/>
            <w:r>
              <w:rPr>
                <w:rFonts w:hint="eastAsia" w:ascii="黑体" w:hAnsi="黑体" w:eastAsia="黑体"/>
                <w:kern w:val="0"/>
                <w:szCs w:val="21"/>
              </w:rPr>
              <w:t>本年新收政府信息公开申请数量</w:t>
            </w:r>
            <w:bookmarkEnd w:id="0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84D36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DE3B9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B2331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658CF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47E09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D24AD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48924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hint="default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</w:tr>
      <w:tr w14:paraId="1BAD32B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5093" w:type="dxa"/>
            <w:gridSpan w:val="3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AAE43D3">
            <w:pPr>
              <w:widowControl/>
              <w:jc w:val="both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二、上年结转政府信息公开申请数量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389FA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24B96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21AA7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D10C3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3095C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87737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413B9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 w14:paraId="7FA32BE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  <w:jc w:val="center"/>
        </w:trPr>
        <w:tc>
          <w:tcPr>
            <w:tcW w:w="416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6BCFE48">
            <w:pPr>
              <w:widowControl/>
              <w:spacing w:after="180"/>
              <w:jc w:val="both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三、本年度办理结果</w:t>
            </w:r>
          </w:p>
        </w:tc>
        <w:tc>
          <w:tcPr>
            <w:tcW w:w="4677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BD51938">
            <w:pPr>
              <w:widowControl/>
              <w:jc w:val="both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（一）予以公开</w:t>
            </w:r>
          </w:p>
        </w:tc>
        <w:tc>
          <w:tcPr>
            <w:tcW w:w="752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E8242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64D30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3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65CB3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6F979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6EE49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6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1DE36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843CA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 w14:paraId="1605F8C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4ADD92D">
            <w:pPr>
              <w:jc w:val="both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4677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7D46CEE">
            <w:pPr>
              <w:widowControl/>
              <w:jc w:val="both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（二）部分公开（</w:t>
            </w:r>
            <w:bookmarkStart w:id="1" w:name="_Hlk66973981"/>
            <w:r>
              <w:rPr>
                <w:rFonts w:hint="eastAsia" w:ascii="黑体" w:hAnsi="黑体" w:eastAsia="黑体"/>
                <w:kern w:val="0"/>
                <w:szCs w:val="21"/>
              </w:rPr>
              <w:t>区分处理的，只计这一情形，不计其他情形</w:t>
            </w:r>
            <w:bookmarkEnd w:id="1"/>
            <w:r>
              <w:rPr>
                <w:rFonts w:hint="eastAsia" w:ascii="黑体" w:hAnsi="黑体" w:eastAsia="黑体"/>
                <w:kern w:val="0"/>
                <w:szCs w:val="21"/>
              </w:rPr>
              <w:t>）</w:t>
            </w:r>
          </w:p>
        </w:tc>
        <w:tc>
          <w:tcPr>
            <w:tcW w:w="752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08303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5E795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3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960F4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11E73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404E9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6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D9047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9EF9D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 w14:paraId="1F3BDCC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556BBB5">
            <w:pPr>
              <w:jc w:val="both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8BCC1CB">
            <w:pPr>
              <w:widowControl/>
              <w:spacing w:line="200" w:lineRule="exact"/>
              <w:ind w:left="-107" w:leftChars="-51"/>
              <w:jc w:val="both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（三）不予公开</w:t>
            </w: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09612D7">
            <w:pPr>
              <w:widowControl/>
              <w:spacing w:line="200" w:lineRule="exact"/>
              <w:jc w:val="both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1.属于国家秘密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0A1A1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A4075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98E24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C7BED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72A13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1A13F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78282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 w14:paraId="6396AEF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D6EF8A3">
            <w:pPr>
              <w:jc w:val="both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D2A66E1">
            <w:pPr>
              <w:spacing w:line="200" w:lineRule="exact"/>
              <w:jc w:val="both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80BB8AE">
            <w:pPr>
              <w:widowControl/>
              <w:spacing w:line="200" w:lineRule="exact"/>
              <w:jc w:val="both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2.</w:t>
            </w:r>
            <w:bookmarkStart w:id="2" w:name="_Hlk66974104"/>
            <w:r>
              <w:rPr>
                <w:rFonts w:hint="eastAsia" w:ascii="仿宋_GB2312" w:hAnsi="黑体" w:eastAsia="仿宋_GB2312"/>
                <w:kern w:val="0"/>
                <w:szCs w:val="21"/>
              </w:rPr>
              <w:t>其他法律行政法规禁止公开</w:t>
            </w:r>
            <w:bookmarkEnd w:id="2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F9CBA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28280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C0D7F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5DE26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FCB9B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CDA81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4EFAD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 w14:paraId="3C607EB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251651F">
            <w:pPr>
              <w:jc w:val="both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E964136">
            <w:pPr>
              <w:spacing w:line="200" w:lineRule="exact"/>
              <w:jc w:val="both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246D2CB">
            <w:pPr>
              <w:widowControl/>
              <w:spacing w:line="200" w:lineRule="exact"/>
              <w:jc w:val="both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3.危及“三安全一稳定”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8B221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F67A3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8170A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04CC7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D4449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2B3F5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F08D5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 w14:paraId="1690A9E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A209BC6">
            <w:pPr>
              <w:jc w:val="both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FE8633A">
            <w:pPr>
              <w:spacing w:line="200" w:lineRule="exact"/>
              <w:jc w:val="both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DC0B8B9">
            <w:pPr>
              <w:widowControl/>
              <w:spacing w:line="200" w:lineRule="exact"/>
              <w:jc w:val="both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4.</w:t>
            </w:r>
            <w:bookmarkStart w:id="3" w:name="_Hlk66974290"/>
            <w:r>
              <w:rPr>
                <w:rFonts w:hint="eastAsia" w:ascii="仿宋_GB2312" w:hAnsi="黑体" w:eastAsia="仿宋_GB2312"/>
                <w:kern w:val="0"/>
                <w:szCs w:val="21"/>
              </w:rPr>
              <w:t>保护第三方合法权益</w:t>
            </w:r>
            <w:bookmarkEnd w:id="3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6B689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3C115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F559E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9AF87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DCDD8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10F87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87C99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 w14:paraId="1B9F46E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413683E">
            <w:pPr>
              <w:jc w:val="both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4C96592">
            <w:pPr>
              <w:spacing w:line="200" w:lineRule="exact"/>
              <w:jc w:val="both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5AD1B85">
            <w:pPr>
              <w:widowControl/>
              <w:spacing w:line="200" w:lineRule="exact"/>
              <w:jc w:val="both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5.属于三类内部事务信息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05083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2037F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1DCA9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09B79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9C069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DB4F9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DB6C7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 w14:paraId="0FA29EC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631CC5F">
            <w:pPr>
              <w:jc w:val="both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6299648">
            <w:pPr>
              <w:spacing w:line="200" w:lineRule="exact"/>
              <w:jc w:val="both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F82B6CA">
            <w:pPr>
              <w:widowControl/>
              <w:spacing w:line="200" w:lineRule="exact"/>
              <w:jc w:val="both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6.</w:t>
            </w:r>
            <w:bookmarkStart w:id="4" w:name="_Hlk66974555"/>
            <w:r>
              <w:rPr>
                <w:rFonts w:hint="eastAsia" w:ascii="仿宋_GB2312" w:hAnsi="黑体" w:eastAsia="仿宋_GB2312"/>
                <w:kern w:val="0"/>
                <w:szCs w:val="21"/>
              </w:rPr>
              <w:t>属于四类过程性信息</w:t>
            </w:r>
            <w:bookmarkEnd w:id="4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2AD73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1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1C81A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CEC9B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92865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C6CDE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A4961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2EC24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1</w:t>
            </w:r>
          </w:p>
        </w:tc>
      </w:tr>
      <w:tr w14:paraId="165D2E2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B754631">
            <w:pPr>
              <w:jc w:val="both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2DFB81B">
            <w:pPr>
              <w:spacing w:line="200" w:lineRule="exact"/>
              <w:jc w:val="both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E7C6458">
            <w:pPr>
              <w:widowControl/>
              <w:spacing w:line="200" w:lineRule="exact"/>
              <w:jc w:val="both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7.属于行政执法案卷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B86D3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BEE20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EFAAF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D6F07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FF196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CB76E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7E218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 w14:paraId="36F3E66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27175FA">
            <w:pPr>
              <w:jc w:val="both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0DAAEDD">
            <w:pPr>
              <w:spacing w:line="200" w:lineRule="exact"/>
              <w:jc w:val="both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27DCF4C">
            <w:pPr>
              <w:widowControl/>
              <w:spacing w:line="200" w:lineRule="exact"/>
              <w:jc w:val="both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8.</w:t>
            </w:r>
            <w:bookmarkStart w:id="5" w:name="_Hlk66975211"/>
            <w:r>
              <w:rPr>
                <w:rFonts w:hint="eastAsia" w:ascii="仿宋_GB2312" w:hAnsi="黑体" w:eastAsia="仿宋_GB2312"/>
                <w:kern w:val="0"/>
                <w:szCs w:val="21"/>
              </w:rPr>
              <w:t>属于行政查询事项</w:t>
            </w:r>
            <w:bookmarkEnd w:id="5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51A90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7858D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7F95C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EC49E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704EA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F1E9A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B7F06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 w14:paraId="64A56CF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DADE7C4">
            <w:pPr>
              <w:jc w:val="both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0B3683A">
            <w:pPr>
              <w:widowControl/>
              <w:spacing w:line="200" w:lineRule="exact"/>
              <w:ind w:left="-107" w:leftChars="-51"/>
              <w:jc w:val="both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（四）无法提供</w:t>
            </w: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DA53F35">
            <w:pPr>
              <w:widowControl/>
              <w:spacing w:line="200" w:lineRule="exact"/>
              <w:jc w:val="both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1.本机关不掌握相关政府信息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8B770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1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674AF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A6196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9B59A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94C65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248E0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B6F14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1</w:t>
            </w:r>
          </w:p>
        </w:tc>
      </w:tr>
      <w:tr w14:paraId="7C34150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8F0EB1E">
            <w:pPr>
              <w:jc w:val="both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EFADFAA">
            <w:pPr>
              <w:spacing w:line="200" w:lineRule="exact"/>
              <w:ind w:left="-107" w:leftChars="-51"/>
              <w:jc w:val="both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2605EF0">
            <w:pPr>
              <w:widowControl/>
              <w:spacing w:line="200" w:lineRule="exact"/>
              <w:jc w:val="both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2.</w:t>
            </w:r>
            <w:bookmarkStart w:id="6" w:name="_Hlk66975392"/>
            <w:r>
              <w:rPr>
                <w:rFonts w:hint="eastAsia" w:ascii="仿宋_GB2312" w:hAnsi="黑体" w:eastAsia="仿宋_GB2312"/>
                <w:kern w:val="0"/>
                <w:szCs w:val="21"/>
              </w:rPr>
              <w:t>没有现成信息需要另行制作</w:t>
            </w:r>
            <w:bookmarkEnd w:id="6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5D541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0FDA8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962E6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5C4A2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C1557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F6979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3C7BE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 w14:paraId="25C56D1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6716203">
            <w:pPr>
              <w:jc w:val="both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BD40251">
            <w:pPr>
              <w:spacing w:line="200" w:lineRule="exact"/>
              <w:ind w:left="-107" w:leftChars="-51"/>
              <w:jc w:val="both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BC73517">
            <w:pPr>
              <w:widowControl/>
              <w:spacing w:line="200" w:lineRule="exact"/>
              <w:jc w:val="both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3.</w:t>
            </w:r>
            <w:bookmarkStart w:id="7" w:name="_Hlk66975466"/>
            <w:r>
              <w:rPr>
                <w:rFonts w:hint="eastAsia" w:ascii="仿宋_GB2312" w:hAnsi="黑体" w:eastAsia="仿宋_GB2312"/>
                <w:kern w:val="0"/>
                <w:szCs w:val="21"/>
              </w:rPr>
              <w:t>补正后申请内容仍不明确</w:t>
            </w:r>
            <w:bookmarkEnd w:id="7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A4E3E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973FA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3A540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77D43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529A8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2F1D3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C8F90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 w14:paraId="1A648E6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42DA2CA">
            <w:pPr>
              <w:jc w:val="both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460CA9B">
            <w:pPr>
              <w:widowControl/>
              <w:spacing w:line="200" w:lineRule="exact"/>
              <w:ind w:left="-107" w:leftChars="-51"/>
              <w:jc w:val="both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（五）不予处理</w:t>
            </w: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AAD2330">
            <w:pPr>
              <w:widowControl/>
              <w:spacing w:line="200" w:lineRule="exact"/>
              <w:jc w:val="both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1.</w:t>
            </w:r>
            <w:bookmarkStart w:id="8" w:name="_Hlk66975537"/>
            <w:r>
              <w:rPr>
                <w:rFonts w:hint="eastAsia" w:ascii="仿宋_GB2312" w:hAnsi="黑体" w:eastAsia="仿宋_GB2312"/>
                <w:kern w:val="0"/>
                <w:szCs w:val="21"/>
              </w:rPr>
              <w:t>信访举报投诉类申请</w:t>
            </w:r>
            <w:bookmarkEnd w:id="8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56897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8D651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8D526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82D5B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315EE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3EBFB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5A91D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 w14:paraId="6612C7C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25EB987">
            <w:pPr>
              <w:jc w:val="both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E43C93F">
            <w:pPr>
              <w:spacing w:line="200" w:lineRule="exact"/>
              <w:jc w:val="both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D533210">
            <w:pPr>
              <w:widowControl/>
              <w:spacing w:line="200" w:lineRule="exact"/>
              <w:jc w:val="both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2.重复申请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26D4F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F2017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CD1CA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6A4FC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D97AB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176CF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715D9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 w14:paraId="6523E64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D6F77F1">
            <w:pPr>
              <w:jc w:val="both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8079DC7">
            <w:pPr>
              <w:spacing w:line="200" w:lineRule="exact"/>
              <w:jc w:val="both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705E981">
            <w:pPr>
              <w:widowControl/>
              <w:spacing w:line="200" w:lineRule="exact"/>
              <w:jc w:val="both"/>
              <w:rPr>
                <w:rFonts w:ascii="仿宋_GB2312" w:hAnsi="黑体" w:eastAsia="仿宋_GB2312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3.要求提供公开出版物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83C08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8243F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2E4CD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CCD97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9EA34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A5113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08E40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 w14:paraId="36F072A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6476CAF">
            <w:pPr>
              <w:jc w:val="both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FA3C55C">
            <w:pPr>
              <w:spacing w:line="200" w:lineRule="exact"/>
              <w:jc w:val="both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0AB4B47">
            <w:pPr>
              <w:widowControl/>
              <w:spacing w:line="200" w:lineRule="exact"/>
              <w:jc w:val="both"/>
              <w:rPr>
                <w:rFonts w:ascii="仿宋_GB2312" w:hAnsi="黑体" w:eastAsia="仿宋_GB2312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4.无正当理由大量反复申请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BB58E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BB2D6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FCE3B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795E9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D9E48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8F198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D7A87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 w14:paraId="2B4A0D9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96F7EFA">
            <w:pPr>
              <w:jc w:val="both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6010F1C">
            <w:pPr>
              <w:spacing w:line="200" w:lineRule="exact"/>
              <w:jc w:val="both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98BA5BC">
            <w:pPr>
              <w:widowControl/>
              <w:spacing w:line="300" w:lineRule="exact"/>
              <w:jc w:val="both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5.要求行政机关确认或重新</w:t>
            </w:r>
          </w:p>
          <w:p w14:paraId="7A5C73D6">
            <w:pPr>
              <w:widowControl/>
              <w:spacing w:line="300" w:lineRule="exact"/>
              <w:ind w:firstLine="210" w:firstLineChars="100"/>
              <w:jc w:val="both"/>
              <w:rPr>
                <w:rFonts w:ascii="仿宋_GB2312" w:hAnsi="黑体" w:eastAsia="仿宋_GB2312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出具已获取信息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72961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6C056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96D81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AC687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D8508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3B9D6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5532B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 w14:paraId="44F4E12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C0ACA74">
            <w:pPr>
              <w:jc w:val="both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D0B80F9">
            <w:pPr>
              <w:widowControl/>
              <w:spacing w:line="300" w:lineRule="exact"/>
              <w:jc w:val="both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（六）其他处理</w:t>
            </w:r>
          </w:p>
        </w:tc>
        <w:tc>
          <w:tcPr>
            <w:tcW w:w="2976" w:type="dxa"/>
            <w:shd w:val="clear" w:color="auto" w:fill="auto"/>
            <w:vAlign w:val="center"/>
          </w:tcPr>
          <w:p w14:paraId="4E3A708F">
            <w:pPr>
              <w:widowControl/>
              <w:spacing w:line="300" w:lineRule="exact"/>
              <w:jc w:val="both"/>
              <w:rPr>
                <w:rFonts w:ascii="仿宋_GB2312" w:hAnsi="楷体" w:eastAsia="仿宋_GB2312"/>
              </w:rPr>
            </w:pPr>
            <w:r>
              <w:rPr>
                <w:rFonts w:hint="eastAsia" w:ascii="仿宋_GB2312" w:hAnsi="楷体" w:eastAsia="仿宋_GB2312"/>
              </w:rPr>
              <w:t>1.申请人无正当理由逾期不补正、行政机关不再处理其政府信息公开申请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61FEA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2736C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BFE1D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9ADB7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232B9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DFF32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347FD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 w14:paraId="4BC1B14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FC56278">
            <w:pPr>
              <w:jc w:val="both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B4832C0">
            <w:pPr>
              <w:widowControl/>
              <w:spacing w:line="300" w:lineRule="exact"/>
              <w:jc w:val="both"/>
              <w:rPr>
                <w:rFonts w:ascii="黑体" w:hAnsi="黑体" w:eastAsia="黑体"/>
                <w:kern w:val="0"/>
                <w:szCs w:val="21"/>
              </w:rPr>
            </w:pPr>
          </w:p>
        </w:tc>
        <w:tc>
          <w:tcPr>
            <w:tcW w:w="2976" w:type="dxa"/>
            <w:shd w:val="clear" w:color="auto" w:fill="auto"/>
            <w:vAlign w:val="center"/>
          </w:tcPr>
          <w:p w14:paraId="27A07544">
            <w:pPr>
              <w:widowControl/>
              <w:spacing w:line="300" w:lineRule="exact"/>
              <w:jc w:val="both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楷体" w:eastAsia="仿宋_GB2312"/>
              </w:rPr>
              <w:t>2.申请人逾期未按收费通知要求缴纳费用、行政机关不再处理其政府信息公开申请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FA399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3D73B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9028C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E9EA5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32EF8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DF816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DA720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 w14:paraId="60B77E1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8BC32F3">
            <w:pPr>
              <w:jc w:val="both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4C588DC">
            <w:pPr>
              <w:widowControl/>
              <w:spacing w:line="300" w:lineRule="exact"/>
              <w:jc w:val="both"/>
              <w:rPr>
                <w:rFonts w:ascii="黑体" w:hAnsi="黑体" w:eastAsia="黑体"/>
                <w:kern w:val="0"/>
                <w:szCs w:val="21"/>
              </w:rPr>
            </w:pPr>
          </w:p>
        </w:tc>
        <w:tc>
          <w:tcPr>
            <w:tcW w:w="2976" w:type="dxa"/>
            <w:shd w:val="clear" w:color="auto" w:fill="auto"/>
            <w:vAlign w:val="center"/>
          </w:tcPr>
          <w:p w14:paraId="50D38760">
            <w:pPr>
              <w:widowControl/>
              <w:spacing w:line="300" w:lineRule="exact"/>
              <w:jc w:val="both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楷体" w:eastAsia="仿宋_GB2312"/>
              </w:rPr>
              <w:t>3.其他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C8439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423AA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CB7E0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2DB33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65B48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6BA38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2A865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hint="default" w:ascii="仿宋_GB2312" w:hAnsi="Times New Roman" w:eastAsia="仿宋_GB2312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 w14:paraId="7FDAFBB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49C4E62">
            <w:pPr>
              <w:jc w:val="both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4677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8992C8F">
            <w:pPr>
              <w:widowControl/>
              <w:spacing w:line="300" w:lineRule="exact"/>
              <w:jc w:val="both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（七）总计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7CE1F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54936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F0AD0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9878F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9982C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26450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2D135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</w:tr>
      <w:tr w14:paraId="57C8031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093" w:type="dxa"/>
            <w:gridSpan w:val="3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21B501E">
            <w:pPr>
              <w:widowControl/>
              <w:spacing w:line="300" w:lineRule="exact"/>
              <w:jc w:val="both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四、结转下年度继续办理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C4D8B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D62F8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D8F45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44F42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E4701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3EDB1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182AA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_GB2312" w:hAnsi="Times New Roman" w:eastAsia="仿宋_GB2312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</w:tbl>
    <w:p w14:paraId="45AD0F99">
      <w:pPr>
        <w:widowControl/>
        <w:jc w:val="both"/>
        <w:rPr>
          <w:rFonts w:hint="eastAsia" w:ascii="仿宋_GB2312" w:hAnsi="Calibri" w:eastAsia="仿宋_GB2312" w:cs="Calibri"/>
          <w:color w:val="FF0000"/>
          <w:kern w:val="0"/>
          <w:szCs w:val="21"/>
          <w:lang w:val="en-US" w:eastAsia="zh-CN"/>
        </w:rPr>
      </w:pPr>
    </w:p>
    <w:p w14:paraId="66DD63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四、政府信息公开行政复议、行政诉讼情况</w:t>
      </w:r>
    </w:p>
    <w:tbl>
      <w:tblPr>
        <w:tblStyle w:val="6"/>
        <w:tblW w:w="9071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 w14:paraId="761F2DB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362838A">
            <w:pPr>
              <w:widowControl/>
              <w:jc w:val="both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E7B0A52">
            <w:pPr>
              <w:widowControl/>
              <w:jc w:val="both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行政诉讼</w:t>
            </w:r>
          </w:p>
        </w:tc>
      </w:tr>
      <w:tr w14:paraId="42C4E5A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ECF1C63">
            <w:pPr>
              <w:widowControl/>
              <w:ind w:left="-149" w:leftChars="-71" w:right="-170" w:rightChars="-81"/>
              <w:jc w:val="both"/>
              <w:rPr>
                <w:rFonts w:ascii="黑体" w:hAnsi="黑体" w:eastAsia="黑体"/>
                <w:kern w:val="0"/>
                <w:sz w:val="20"/>
                <w:szCs w:val="20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结果</w:t>
            </w:r>
          </w:p>
          <w:p w14:paraId="48049F3A">
            <w:pPr>
              <w:widowControl/>
              <w:ind w:left="-149" w:leftChars="-71" w:right="-170" w:rightChars="-81"/>
              <w:jc w:val="both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7897ECF">
            <w:pPr>
              <w:widowControl/>
              <w:ind w:left="-43" w:leftChars="-21" w:right="-132" w:rightChars="-63" w:hanging="1"/>
              <w:jc w:val="both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CF5A594">
            <w:pPr>
              <w:widowControl/>
              <w:ind w:left="-82" w:leftChars="-39" w:right="-97" w:rightChars="-46"/>
              <w:jc w:val="both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091145C">
            <w:pPr>
              <w:widowControl/>
              <w:ind w:left="-118" w:leftChars="-56" w:right="-118" w:rightChars="-56"/>
              <w:jc w:val="both"/>
              <w:rPr>
                <w:rFonts w:ascii="黑体" w:hAnsi="黑体" w:eastAsia="黑体"/>
                <w:kern w:val="0"/>
                <w:sz w:val="20"/>
                <w:szCs w:val="20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尚未</w:t>
            </w:r>
          </w:p>
          <w:p w14:paraId="15E24B0D">
            <w:pPr>
              <w:widowControl/>
              <w:ind w:left="-118" w:leftChars="-56" w:right="-118" w:rightChars="-56"/>
              <w:jc w:val="both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D9F92E2">
            <w:pPr>
              <w:widowControl/>
              <w:spacing w:line="320" w:lineRule="exact"/>
              <w:jc w:val="both"/>
              <w:rPr>
                <w:rFonts w:ascii="黑体" w:hAnsi="黑体" w:eastAsia="黑体"/>
                <w:kern w:val="0"/>
                <w:sz w:val="20"/>
                <w:szCs w:val="20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总</w:t>
            </w:r>
          </w:p>
          <w:p w14:paraId="288D6B2A">
            <w:pPr>
              <w:widowControl/>
              <w:spacing w:line="320" w:lineRule="exact"/>
              <w:jc w:val="both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93C09AD">
            <w:pPr>
              <w:widowControl/>
              <w:jc w:val="both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3A406DD">
            <w:pPr>
              <w:widowControl/>
              <w:jc w:val="both"/>
              <w:rPr>
                <w:rFonts w:ascii="黑体" w:hAnsi="黑体" w:eastAsia="黑体"/>
              </w:rPr>
            </w:pPr>
            <w:bookmarkStart w:id="9" w:name="_Hlk67039688"/>
            <w:r>
              <w:rPr>
                <w:rFonts w:ascii="黑体" w:hAnsi="黑体" w:eastAsia="黑体"/>
                <w:kern w:val="0"/>
                <w:sz w:val="20"/>
                <w:szCs w:val="20"/>
              </w:rPr>
              <w:t>复议后起诉</w:t>
            </w:r>
            <w:bookmarkEnd w:id="9"/>
          </w:p>
        </w:tc>
      </w:tr>
      <w:tr w14:paraId="6959F47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6" w:hRule="atLeast"/>
          <w:jc w:val="center"/>
        </w:trPr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FE5A5BD">
            <w:pPr>
              <w:jc w:val="both"/>
              <w:rPr>
                <w:rFonts w:ascii="黑体" w:hAnsi="黑体" w:eastAsia="黑体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7BDC046">
            <w:pPr>
              <w:jc w:val="both"/>
              <w:rPr>
                <w:rFonts w:ascii="黑体" w:hAnsi="黑体" w:eastAsia="黑体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107DCEB">
            <w:pPr>
              <w:jc w:val="both"/>
              <w:rPr>
                <w:rFonts w:ascii="黑体" w:hAnsi="黑体" w:eastAsia="黑体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B22D1F8">
            <w:pPr>
              <w:jc w:val="both"/>
              <w:rPr>
                <w:rFonts w:ascii="黑体" w:hAnsi="黑体" w:eastAsia="黑体"/>
                <w:sz w:val="24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B8EAE38">
            <w:pPr>
              <w:jc w:val="both"/>
              <w:rPr>
                <w:rFonts w:ascii="黑体" w:hAnsi="黑体" w:eastAsia="黑体"/>
                <w:sz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058246F">
            <w:pPr>
              <w:widowControl/>
              <w:ind w:left="-105" w:leftChars="-50" w:right="-126" w:rightChars="-60"/>
              <w:jc w:val="both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87CDF14">
            <w:pPr>
              <w:widowControl/>
              <w:ind w:left="-86" w:leftChars="-41" w:right="-88" w:rightChars="-42"/>
              <w:jc w:val="both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ADEA729">
            <w:pPr>
              <w:widowControl/>
              <w:ind w:left="-126" w:leftChars="-60" w:right="-136" w:rightChars="-65"/>
              <w:jc w:val="both"/>
              <w:rPr>
                <w:rFonts w:ascii="黑体" w:hAnsi="黑体" w:eastAsia="黑体"/>
                <w:kern w:val="0"/>
                <w:sz w:val="20"/>
                <w:szCs w:val="20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其他</w:t>
            </w:r>
          </w:p>
          <w:p w14:paraId="464AE147">
            <w:pPr>
              <w:widowControl/>
              <w:ind w:left="-126" w:leftChars="-60" w:right="-136" w:rightChars="-65"/>
              <w:jc w:val="both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E336C8A">
            <w:pPr>
              <w:widowControl/>
              <w:ind w:left="-164" w:leftChars="-78" w:right="-153" w:rightChars="-73"/>
              <w:jc w:val="both"/>
              <w:rPr>
                <w:rFonts w:ascii="黑体" w:hAnsi="黑体" w:eastAsia="黑体"/>
                <w:kern w:val="0"/>
                <w:sz w:val="20"/>
                <w:szCs w:val="20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尚未</w:t>
            </w:r>
          </w:p>
          <w:p w14:paraId="7AD31AC0">
            <w:pPr>
              <w:widowControl/>
              <w:ind w:left="-164" w:leftChars="-78" w:right="-153" w:rightChars="-73"/>
              <w:jc w:val="both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1CA66F8">
            <w:pPr>
              <w:widowControl/>
              <w:jc w:val="both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D22CE8B">
            <w:pPr>
              <w:widowControl/>
              <w:ind w:left="-99" w:leftChars="-47" w:right="-78" w:rightChars="-37"/>
              <w:jc w:val="both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2032C34">
            <w:pPr>
              <w:widowControl/>
              <w:ind w:left="-136" w:leftChars="-65" w:right="-124" w:rightChars="-59"/>
              <w:jc w:val="both"/>
              <w:rPr>
                <w:rFonts w:ascii="黑体" w:hAnsi="黑体" w:eastAsia="黑体"/>
                <w:kern w:val="0"/>
                <w:sz w:val="20"/>
                <w:szCs w:val="20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结果</w:t>
            </w:r>
          </w:p>
          <w:p w14:paraId="6F2A3690">
            <w:pPr>
              <w:widowControl/>
              <w:ind w:left="-136" w:leftChars="-65" w:right="-124" w:rightChars="-59"/>
              <w:jc w:val="both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DCA055C">
            <w:pPr>
              <w:widowControl/>
              <w:ind w:left="-173" w:leftChars="-83" w:right="-134" w:rightChars="-64" w:hanging="1"/>
              <w:jc w:val="both"/>
              <w:rPr>
                <w:rFonts w:ascii="黑体" w:hAnsi="黑体" w:eastAsia="黑体"/>
                <w:kern w:val="0"/>
                <w:sz w:val="20"/>
                <w:szCs w:val="20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其他</w:t>
            </w:r>
          </w:p>
          <w:p w14:paraId="2EDF60C5">
            <w:pPr>
              <w:widowControl/>
              <w:ind w:left="-173" w:leftChars="-83" w:right="-134" w:rightChars="-64" w:hanging="1"/>
              <w:jc w:val="both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805E8B6">
            <w:pPr>
              <w:widowControl/>
              <w:ind w:left="-67" w:leftChars="-33" w:right="-105" w:rightChars="-50" w:hanging="2" w:hangingChars="1"/>
              <w:jc w:val="both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4008881">
            <w:pPr>
              <w:widowControl/>
              <w:jc w:val="both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总计</w:t>
            </w:r>
          </w:p>
        </w:tc>
      </w:tr>
      <w:tr w14:paraId="1FC1492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1E22140">
            <w:pPr>
              <w:widowControl/>
              <w:spacing w:after="180"/>
              <w:jc w:val="both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FEE0958">
            <w:pPr>
              <w:widowControl/>
              <w:spacing w:after="180"/>
              <w:jc w:val="both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184D9BC">
            <w:pPr>
              <w:widowControl/>
              <w:spacing w:after="180"/>
              <w:jc w:val="both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26BB065">
            <w:pPr>
              <w:widowControl/>
              <w:spacing w:after="180"/>
              <w:jc w:val="both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13C795F">
            <w:pPr>
              <w:widowControl/>
              <w:spacing w:after="180"/>
              <w:jc w:val="both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72C5EC8">
            <w:pPr>
              <w:widowControl/>
              <w:spacing w:after="180"/>
              <w:jc w:val="both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3E93540">
            <w:pPr>
              <w:widowControl/>
              <w:spacing w:after="180"/>
              <w:jc w:val="both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9169BCE">
            <w:pPr>
              <w:widowControl/>
              <w:spacing w:after="180"/>
              <w:jc w:val="both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643C902">
            <w:pPr>
              <w:widowControl/>
              <w:spacing w:after="180"/>
              <w:jc w:val="both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4C94E0A">
            <w:pPr>
              <w:widowControl/>
              <w:spacing w:after="180"/>
              <w:jc w:val="both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BCAD9E4">
            <w:pPr>
              <w:widowControl/>
              <w:spacing w:after="180"/>
              <w:jc w:val="both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84BD8C3">
            <w:pPr>
              <w:widowControl/>
              <w:spacing w:after="180"/>
              <w:jc w:val="both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87184E5">
            <w:pPr>
              <w:widowControl/>
              <w:spacing w:after="180"/>
              <w:jc w:val="both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99ABAD6">
            <w:pPr>
              <w:widowControl/>
              <w:spacing w:after="180"/>
              <w:jc w:val="both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D383EC0">
            <w:pPr>
              <w:widowControl/>
              <w:spacing w:after="180"/>
              <w:jc w:val="both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</w:tr>
    </w:tbl>
    <w:p w14:paraId="2D056562">
      <w:pPr>
        <w:widowControl/>
        <w:jc w:val="both"/>
        <w:rPr>
          <w:rFonts w:hint="eastAsia" w:ascii="仿宋_GB2312" w:hAnsi="Calibri" w:eastAsia="仿宋_GB2312" w:cs="Calibri"/>
          <w:color w:val="FF0000"/>
          <w:kern w:val="0"/>
          <w:szCs w:val="21"/>
          <w:lang w:val="en-US" w:eastAsia="zh-CN"/>
        </w:rPr>
      </w:pPr>
    </w:p>
    <w:p w14:paraId="0D36DA93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五、存在的主要问题及改进情况</w:t>
      </w:r>
    </w:p>
    <w:p w14:paraId="73101413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 w:bidi="ar-SA"/>
        </w:rPr>
        <w:t>（一）存在问题。</w:t>
      </w:r>
      <w:r>
        <w:rPr>
          <w:rFonts w:hint="eastAsia" w:ascii="楷体_GB2312" w:hAnsi="楷体_GB2312" w:eastAsia="楷体_GB2312" w:cs="楷体_GB2312"/>
          <w:b/>
          <w:bCs/>
          <w:kern w:val="2"/>
          <w:sz w:val="32"/>
          <w:szCs w:val="32"/>
          <w:lang w:val="en-US" w:eastAsia="zh-CN" w:bidi="ar-SA"/>
        </w:rPr>
        <w:t>一是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公开方式单一化、陈旧化，主要以文字的信息公开形式为主。</w:t>
      </w:r>
      <w:r>
        <w:rPr>
          <w:rFonts w:hint="eastAsia" w:ascii="楷体_GB2312" w:hAnsi="楷体_GB2312" w:eastAsia="楷体_GB2312" w:cs="楷体_GB2312"/>
          <w:b/>
          <w:bCs/>
          <w:kern w:val="2"/>
          <w:sz w:val="32"/>
          <w:szCs w:val="32"/>
          <w:lang w:val="en-US" w:eastAsia="zh-CN" w:bidi="ar-SA"/>
        </w:rPr>
        <w:t>二是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政策解读形式单一，需要完善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val="en-US" w:eastAsia="zh-CN"/>
        </w:rPr>
        <w:t>多渠道、多途径进行政策解读的能力。</w:t>
      </w:r>
      <w:r>
        <w:rPr>
          <w:rFonts w:hint="eastAsia" w:ascii="楷体_GB2312" w:hAnsi="楷体_GB2312" w:eastAsia="楷体_GB2312" w:cs="楷体_GB2312"/>
          <w:b/>
          <w:bCs/>
          <w:color w:val="000000"/>
          <w:sz w:val="32"/>
          <w:szCs w:val="32"/>
          <w:shd w:val="clear" w:color="auto" w:fill="FFFFFF"/>
          <w:lang w:val="en-US" w:eastAsia="zh-CN"/>
        </w:rPr>
        <w:t>三是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val="en-US" w:eastAsia="zh-CN"/>
        </w:rPr>
        <w:t>信息公开业务工作水平有待提升。</w:t>
      </w:r>
    </w:p>
    <w:p w14:paraId="0A3DB9BF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 w:bidi="ar-SA"/>
        </w:rPr>
        <w:t>（二）改进情况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。</w:t>
      </w:r>
      <w:r>
        <w:rPr>
          <w:rFonts w:hint="eastAsia" w:ascii="楷体_GB2312" w:hAnsi="楷体_GB2312" w:eastAsia="楷体_GB2312" w:cs="楷体_GB2312"/>
          <w:b/>
          <w:bCs/>
          <w:kern w:val="2"/>
          <w:sz w:val="32"/>
          <w:szCs w:val="32"/>
          <w:lang w:val="en-US" w:eastAsia="zh-CN" w:bidi="ar-SA"/>
        </w:rPr>
        <w:t>一是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运用多种方式加大政务公开的宣传力度，结合政府网站、政务新媒体、新闻发布会等多种渠道进行公开。</w:t>
      </w:r>
      <w:r>
        <w:rPr>
          <w:rFonts w:hint="eastAsia" w:ascii="楷体_GB2312" w:hAnsi="楷体_GB2312" w:eastAsia="楷体_GB2312" w:cs="楷体_GB2312"/>
          <w:b/>
          <w:bCs/>
          <w:kern w:val="2"/>
          <w:sz w:val="32"/>
          <w:szCs w:val="32"/>
          <w:lang w:val="en-US" w:eastAsia="zh-CN" w:bidi="ar-SA"/>
        </w:rPr>
        <w:t>二是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拓展政策解读方式，以图表、视频、新闻发布会以及领导解读、服务企业专员解读等多种形式提供更为直观的政策解读服务。</w:t>
      </w:r>
      <w:r>
        <w:rPr>
          <w:rFonts w:hint="eastAsia" w:ascii="楷体_GB2312" w:hAnsi="楷体_GB2312" w:eastAsia="楷体_GB2312" w:cs="楷体_GB2312"/>
          <w:b/>
          <w:bCs/>
          <w:kern w:val="2"/>
          <w:sz w:val="32"/>
          <w:szCs w:val="32"/>
          <w:lang w:val="en-US" w:eastAsia="zh-CN" w:bidi="ar-SA"/>
        </w:rPr>
        <w:t>三是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完善培训工作机制，组织相关人员参加信息公开工作和“双随机一公开”工作的专业培训，提高工作人员平台操作能力和政策把握能力，优化政务公开质量。</w:t>
      </w:r>
    </w:p>
    <w:p w14:paraId="3FCD5003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六、其他需要报告的事项</w:t>
      </w:r>
    </w:p>
    <w:p w14:paraId="0753769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 w:bidi="ar-SA"/>
        </w:rPr>
        <w:t>（一）依申请公开信息处理费收费情况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。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202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2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年，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市工信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局未收取政府信息公开信息处理费。</w:t>
      </w:r>
    </w:p>
    <w:p w14:paraId="3E979BA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 w:bidi="ar-SA"/>
        </w:rPr>
        <w:t>（二）本年度建议提案办理情况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。2022年，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共收到“两会”建议、提案6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5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件，其中人大建议2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5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件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政协提案4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0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件，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全面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实现与代表委员沟通率、按时办结率、代表委员满意率三个100%，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建议、提案答复均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在政务公开专栏进行公开。</w:t>
      </w:r>
    </w:p>
    <w:p w14:paraId="2CB93F6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 w:bidi="ar-SA"/>
        </w:rPr>
        <w:t>（三）创新情况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。推深做实服务企业专员制度。选派6500余名干部担任“服务企业专员”挂包联系1万余个企业项目，实现市、区县、镇（街道）、村（社区）干部联系服务10人以上企业和区县重点项目全覆盖，当好政策公开的“信息员”、诉求意见的“收集员”、解决难题的“办事员”。</w:t>
      </w:r>
    </w:p>
    <w:p w14:paraId="4E7728D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 w:bidi="ar-SA"/>
        </w:rPr>
        <w:t>（四）《2022年淄博市政务公开工作方案》落实情况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。制定《淄博市工业和信息化局2022年政务公开重点任务分工方案》，将涉及的7项工作任务细化成21项工作举措，均按时限完成。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NhNzNkNWVhODY4ZmI1NGFiMzkzODgxZWM0MTgxYTYifQ=="/>
  </w:docVars>
  <w:rsids>
    <w:rsidRoot w:val="11AF18C8"/>
    <w:rsid w:val="09569132"/>
    <w:rsid w:val="0D4D54AE"/>
    <w:rsid w:val="0D72249E"/>
    <w:rsid w:val="11AF18C8"/>
    <w:rsid w:val="141D2158"/>
    <w:rsid w:val="14A02B65"/>
    <w:rsid w:val="1A6A77C7"/>
    <w:rsid w:val="1D434333"/>
    <w:rsid w:val="1F97332B"/>
    <w:rsid w:val="27F73941"/>
    <w:rsid w:val="2F6F1AFF"/>
    <w:rsid w:val="3C7E7E4E"/>
    <w:rsid w:val="4B151B41"/>
    <w:rsid w:val="640A5F1B"/>
    <w:rsid w:val="645F063B"/>
    <w:rsid w:val="6FAC3CC5"/>
    <w:rsid w:val="74DC48C7"/>
    <w:rsid w:val="77181135"/>
    <w:rsid w:val="79BD6E20"/>
    <w:rsid w:val="7A67477F"/>
    <w:rsid w:val="7E7EB1F0"/>
    <w:rsid w:val="7F7F00C0"/>
    <w:rsid w:val="7FAF698C"/>
    <w:rsid w:val="7FD4191D"/>
    <w:rsid w:val="7FD601A3"/>
    <w:rsid w:val="7FFB6B38"/>
    <w:rsid w:val="9BFA0E74"/>
    <w:rsid w:val="A3FA610F"/>
    <w:rsid w:val="E7BFA877"/>
    <w:rsid w:val="EDD9EA72"/>
    <w:rsid w:val="FD9ED4A3"/>
    <w:rsid w:val="FDB5CE77"/>
    <w:rsid w:val="FFB6A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4"/>
    <w:qFormat/>
    <w:uiPriority w:val="1"/>
    <w:pPr>
      <w:ind w:left="120" w:right="265"/>
    </w:pPr>
    <w:rPr>
      <w:rFonts w:ascii="仿宋" w:hAnsi="仿宋" w:eastAsia="仿宋" w:cs="仿宋"/>
      <w:sz w:val="32"/>
      <w:szCs w:val="32"/>
      <w:lang w:val="zh-CN" w:eastAsia="zh-CN" w:bidi="zh-CN"/>
    </w:rPr>
  </w:style>
  <w:style w:type="paragraph" w:styleId="4">
    <w:name w:val="Body Text First Indent"/>
    <w:basedOn w:val="3"/>
    <w:qFormat/>
    <w:uiPriority w:val="0"/>
    <w:pPr>
      <w:ind w:firstLine="420" w:firstLineChars="100"/>
    </w:p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783</Words>
  <Characters>852</Characters>
  <Lines>0</Lines>
  <Paragraphs>0</Paragraphs>
  <TotalTime>1164</TotalTime>
  <ScaleCrop>false</ScaleCrop>
  <LinksUpToDate>false</LinksUpToDate>
  <CharactersWithSpaces>852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2023-01-20T07:45:00Z</dcterms:created>
  <dc:creator>诗人与熊</dc:creator>
  <cp:lastModifiedBy>张美玉</cp:lastModifiedBy>
  <cp:lastPrinted>2023-01-20T09:08:00Z</cp:lastPrinted>
  <dcterms:modified xsi:type="dcterms:W3CDTF">2025-12-02T03:19:23Z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AA997AA0745C4772A4196D817533ED9B</vt:lpwstr>
  </property>
  <property fmtid="{D5CDD505-2E9C-101B-9397-08002B2CF9AE}" pid="4" name="KSOTemplateDocerSaveRecord">
    <vt:lpwstr>eyJoZGlkIjoiNmQxMzM3NjhkMDFjOWYxZDBkYzAzZDkxN2MyM2NmNTciLCJ1c2VySWQiOiIyNjcyMDQyMjcifQ==</vt:lpwstr>
  </property>
</Properties>
</file>