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jc w:val="right"/>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 xml:space="preserve">                                             （</w:t>
      </w:r>
      <w:r>
        <w:rPr>
          <w:rFonts w:hint="eastAsia" w:eastAsia="仿宋_GB2312" w:cs="Times New Roman"/>
          <w:sz w:val="32"/>
          <w:szCs w:val="32"/>
          <w:lang w:val="en-US" w:eastAsia="zh-CN"/>
        </w:rPr>
        <w:t>A</w:t>
      </w:r>
      <w:r>
        <w:rPr>
          <w:rFonts w:hint="default" w:ascii="Times New Roman" w:hAnsi="Times New Roman" w:eastAsia="仿宋_GB2312" w:cs="Times New Roman"/>
          <w:sz w:val="32"/>
          <w:szCs w:val="32"/>
        </w:rPr>
        <w:t>类）</w:t>
      </w:r>
    </w:p>
    <w:p>
      <w:pPr>
        <w:pStyle w:val="10"/>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color w:val="auto"/>
          <w:sz w:val="32"/>
          <w:szCs w:val="32"/>
        </w:rPr>
      </w:pPr>
    </w:p>
    <w:p>
      <w:pPr>
        <w:pStyle w:val="10"/>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color w:val="auto"/>
          <w:sz w:val="32"/>
          <w:szCs w:val="32"/>
        </w:rPr>
      </w:pPr>
    </w:p>
    <w:p>
      <w:pPr>
        <w:pStyle w:val="10"/>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color w:val="auto"/>
          <w:sz w:val="32"/>
          <w:szCs w:val="32"/>
        </w:rPr>
      </w:pPr>
    </w:p>
    <w:p>
      <w:pPr>
        <w:keepNext w:val="0"/>
        <w:keepLines w:val="0"/>
        <w:pageBreakBefore w:val="0"/>
        <w:widowControl w:val="0"/>
        <w:kinsoku/>
        <w:wordWrap/>
        <w:overflowPunct/>
        <w:topLinePunct w:val="0"/>
        <w:autoSpaceDE/>
        <w:autoSpaceDN/>
        <w:bidi w:val="0"/>
        <w:spacing w:line="600" w:lineRule="exact"/>
        <w:jc w:val="both"/>
        <w:textAlignment w:val="auto"/>
        <w:rPr>
          <w:rFonts w:hint="default" w:ascii="Times New Roman" w:hAnsi="Times New Roman" w:eastAsia="仿宋_GB2312" w:cs="Times New Roman"/>
          <w:b w:val="0"/>
          <w:bCs w:val="0"/>
          <w:color w:val="auto"/>
          <w:w w:val="100"/>
          <w:sz w:val="32"/>
          <w:szCs w:val="32"/>
          <w:lang w:eastAsia="zh-CN"/>
        </w:rPr>
      </w:pPr>
    </w:p>
    <w:p>
      <w:pPr>
        <w:keepNext w:val="0"/>
        <w:keepLines w:val="0"/>
        <w:pageBreakBefore w:val="0"/>
        <w:widowControl w:val="0"/>
        <w:kinsoku/>
        <w:wordWrap/>
        <w:overflowPunct/>
        <w:topLinePunct w:val="0"/>
        <w:autoSpaceDE/>
        <w:autoSpaceDN/>
        <w:bidi w:val="0"/>
        <w:spacing w:line="600" w:lineRule="exact"/>
        <w:ind w:firstLine="320" w:firstLineChars="100"/>
        <w:jc w:val="both"/>
        <w:textAlignment w:val="auto"/>
        <w:rPr>
          <w:rFonts w:hint="default" w:ascii="Times New Roman" w:hAnsi="Times New Roman" w:eastAsia="仿宋_GB2312" w:cs="Times New Roman"/>
          <w:b w:val="0"/>
          <w:bCs w:val="0"/>
          <w:color w:val="auto"/>
          <w:w w:val="100"/>
          <w:sz w:val="32"/>
          <w:szCs w:val="32"/>
          <w:lang w:val="en-US" w:eastAsia="zh-CN"/>
        </w:rPr>
      </w:pPr>
      <w:r>
        <w:rPr>
          <w:rFonts w:hint="default" w:ascii="Times New Roman" w:hAnsi="Times New Roman" w:eastAsia="仿宋_GB2312" w:cs="Times New Roman"/>
          <w:b w:val="0"/>
          <w:bCs w:val="0"/>
          <w:color w:val="auto"/>
          <w:w w:val="100"/>
          <w:sz w:val="32"/>
          <w:szCs w:val="32"/>
          <w:lang w:eastAsia="zh-CN"/>
        </w:rPr>
        <w:t>淄工信提办字〔</w:t>
      </w:r>
      <w:r>
        <w:rPr>
          <w:rFonts w:hint="default" w:ascii="Times New Roman" w:hAnsi="Times New Roman" w:eastAsia="仿宋_GB2312" w:cs="Times New Roman"/>
          <w:b w:val="0"/>
          <w:bCs w:val="0"/>
          <w:color w:val="auto"/>
          <w:w w:val="100"/>
          <w:sz w:val="32"/>
          <w:szCs w:val="32"/>
          <w:lang w:val="en-US" w:eastAsia="zh-CN"/>
        </w:rPr>
        <w:t>2025</w:t>
      </w:r>
      <w:r>
        <w:rPr>
          <w:rFonts w:hint="default" w:ascii="Times New Roman" w:hAnsi="Times New Roman" w:eastAsia="仿宋_GB2312" w:cs="Times New Roman"/>
          <w:b w:val="0"/>
          <w:bCs w:val="0"/>
          <w:color w:val="auto"/>
          <w:w w:val="100"/>
          <w:sz w:val="32"/>
          <w:szCs w:val="32"/>
          <w:lang w:eastAsia="zh-CN"/>
        </w:rPr>
        <w:t>〕</w:t>
      </w:r>
      <w:r>
        <w:rPr>
          <w:rFonts w:hint="default" w:ascii="Times New Roman" w:hAnsi="Times New Roman" w:eastAsia="仿宋_GB2312" w:cs="Times New Roman"/>
          <w:b w:val="0"/>
          <w:bCs w:val="0"/>
          <w:color w:val="auto"/>
          <w:w w:val="100"/>
          <w:sz w:val="32"/>
          <w:szCs w:val="32"/>
          <w:lang w:val="en-US" w:eastAsia="zh-CN"/>
        </w:rPr>
        <w:t>33</w:t>
      </w:r>
      <w:r>
        <w:rPr>
          <w:rFonts w:hint="default" w:ascii="Times New Roman" w:hAnsi="Times New Roman" w:eastAsia="仿宋_GB2312" w:cs="Times New Roman"/>
          <w:b w:val="0"/>
          <w:bCs w:val="0"/>
          <w:color w:val="auto"/>
          <w:w w:val="100"/>
          <w:sz w:val="32"/>
          <w:szCs w:val="32"/>
          <w:lang w:eastAsia="zh-CN"/>
        </w:rPr>
        <w:t>号</w:t>
      </w:r>
      <w:r>
        <w:rPr>
          <w:rFonts w:hint="default" w:ascii="Times New Roman" w:hAnsi="Times New Roman" w:eastAsia="仿宋_GB2312" w:cs="Times New Roman"/>
          <w:b w:val="0"/>
          <w:bCs w:val="0"/>
          <w:color w:val="auto"/>
          <w:w w:val="100"/>
          <w:sz w:val="32"/>
          <w:szCs w:val="32"/>
          <w:lang w:val="en-US" w:eastAsia="zh-CN"/>
        </w:rPr>
        <w:t xml:space="preserve">            签发人：</w:t>
      </w:r>
      <w:r>
        <w:rPr>
          <w:rFonts w:hint="default" w:ascii="Times New Roman" w:hAnsi="Times New Roman" w:eastAsia="楷体_GB2312" w:cs="Times New Roman"/>
          <w:b w:val="0"/>
          <w:bCs w:val="0"/>
          <w:color w:val="auto"/>
          <w:w w:val="100"/>
          <w:sz w:val="32"/>
          <w:szCs w:val="32"/>
          <w:lang w:val="en-US" w:eastAsia="zh-CN"/>
        </w:rPr>
        <w:t>张亮云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对市政协十</w:t>
      </w:r>
      <w:r>
        <w:rPr>
          <w:rFonts w:hint="default" w:ascii="Times New Roman" w:hAnsi="Times New Roman" w:eastAsia="方正小标宋简体" w:cs="Times New Roman"/>
          <w:sz w:val="44"/>
          <w:szCs w:val="44"/>
          <w:lang w:eastAsia="zh-CN"/>
        </w:rPr>
        <w:t>三</w:t>
      </w:r>
      <w:r>
        <w:rPr>
          <w:rFonts w:hint="default" w:ascii="Times New Roman" w:hAnsi="Times New Roman" w:eastAsia="方正小标宋简体" w:cs="Times New Roman"/>
          <w:sz w:val="44"/>
          <w:szCs w:val="44"/>
        </w:rPr>
        <w:t>届</w:t>
      </w:r>
      <w:r>
        <w:rPr>
          <w:rFonts w:hint="default" w:ascii="Times New Roman" w:hAnsi="Times New Roman" w:eastAsia="方正小标宋简体" w:cs="Times New Roman"/>
          <w:sz w:val="44"/>
          <w:szCs w:val="44"/>
          <w:lang w:val="en-US" w:eastAsia="zh-CN"/>
        </w:rPr>
        <w:t>四</w:t>
      </w:r>
      <w:r>
        <w:rPr>
          <w:rFonts w:hint="default" w:ascii="Times New Roman" w:hAnsi="Times New Roman" w:eastAsia="方正小标宋简体" w:cs="Times New Roman"/>
          <w:sz w:val="44"/>
          <w:szCs w:val="44"/>
        </w:rPr>
        <w:t>次会议委员</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第</w:t>
      </w:r>
      <w:r>
        <w:rPr>
          <w:rFonts w:hint="default" w:ascii="Times New Roman" w:hAnsi="Times New Roman" w:eastAsia="方正小标宋简体" w:cs="Times New Roman"/>
          <w:sz w:val="44"/>
          <w:szCs w:val="44"/>
          <w:u w:val="none"/>
          <w:lang w:val="en"/>
        </w:rPr>
        <w:t>1304141</w:t>
      </w:r>
      <w:r>
        <w:rPr>
          <w:rFonts w:hint="default" w:ascii="Times New Roman" w:hAnsi="Times New Roman" w:eastAsia="方正小标宋简体" w:cs="Times New Roman"/>
          <w:sz w:val="44"/>
          <w:szCs w:val="44"/>
        </w:rPr>
        <w:t>号提案的答复</w:t>
      </w:r>
    </w:p>
    <w:p>
      <w:pPr>
        <w:keepNext w:val="0"/>
        <w:keepLines w:val="0"/>
        <w:pageBreakBefore w:val="0"/>
        <w:widowControl w:val="0"/>
        <w:kinsoku/>
        <w:wordWrap/>
        <w:overflowPunct/>
        <w:topLinePunct w:val="0"/>
        <w:autoSpaceDE/>
        <w:autoSpaceDN/>
        <w:bidi w:val="0"/>
        <w:adjustRightInd/>
        <w:snapToGrid/>
        <w:ind w:left="0" w:leftChars="0"/>
        <w:jc w:val="center"/>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牛志伟</w:t>
      </w:r>
      <w:r>
        <w:rPr>
          <w:rFonts w:hint="default" w:ascii="Times New Roman" w:hAnsi="Times New Roman" w:eastAsia="仿宋_GB2312" w:cs="Times New Roman"/>
          <w:sz w:val="32"/>
          <w:szCs w:val="32"/>
        </w:rPr>
        <w:t>委员：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您提出的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关于促进我市预制菜行业健康发展的建议情况及问题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收悉，现答复如下：</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您在建议中提到的关于促进预制菜使用透明化和价格公道化、加强行业创新、出台具体的标准规范体系等建议，对进一步推动我市预制菜行业健康发展具有重要参考价值，我们将积极吸收采纳。</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一、强化价格监管</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lang w:val="en-US" w:eastAsia="zh-CN" w:bidi="ar-SA"/>
        </w:rPr>
        <w:t>在节假日等重点时段及时发布关于规范价格行为的提醒告诫函，进一步规范预制菜明码标价，</w:t>
      </w:r>
      <w:r>
        <w:rPr>
          <w:rFonts w:hint="default" w:ascii="Times New Roman" w:hAnsi="Times New Roman" w:eastAsia="仿宋_GB2312" w:cs="Times New Roman"/>
          <w:sz w:val="32"/>
          <w:szCs w:val="32"/>
        </w:rPr>
        <w:t>加强对</w:t>
      </w:r>
      <w:r>
        <w:rPr>
          <w:rFonts w:hint="default" w:ascii="Times New Roman" w:hAnsi="Times New Roman" w:eastAsia="仿宋_GB2312" w:cs="Times New Roman"/>
          <w:sz w:val="32"/>
          <w:szCs w:val="32"/>
          <w:lang w:eastAsia="zh-CN"/>
        </w:rPr>
        <w:t>餐饮</w:t>
      </w:r>
      <w:r>
        <w:rPr>
          <w:rFonts w:hint="default" w:ascii="Times New Roman" w:hAnsi="Times New Roman" w:eastAsia="仿宋_GB2312" w:cs="Times New Roman"/>
          <w:sz w:val="32"/>
          <w:szCs w:val="32"/>
        </w:rPr>
        <w:t>经营者价格监督检查力度，在执法检查的同时强化行政指导和提醒告诫，引导经营者规范明码标价，做到价签齐全、标价真实准确，依法查处</w:t>
      </w:r>
      <w:r>
        <w:rPr>
          <w:rFonts w:hint="default" w:ascii="Times New Roman" w:hAnsi="Times New Roman" w:eastAsia="仿宋_GB2312" w:cs="Times New Roman"/>
          <w:sz w:val="32"/>
          <w:szCs w:val="32"/>
          <w:lang w:eastAsia="zh-CN"/>
        </w:rPr>
        <w:t>未</w:t>
      </w:r>
      <w:r>
        <w:rPr>
          <w:rFonts w:hint="default" w:ascii="Times New Roman" w:hAnsi="Times New Roman" w:eastAsia="仿宋_GB2312" w:cs="Times New Roman"/>
          <w:sz w:val="32"/>
          <w:szCs w:val="32"/>
        </w:rPr>
        <w:t>明码标价、价格欺诈等价格违法违规行为。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pacing w:val="0"/>
          <w:kern w:val="0"/>
          <w:sz w:val="32"/>
          <w:szCs w:val="32"/>
          <w:lang w:val="en-US" w:eastAsia="zh-CN" w:bidi="ar"/>
        </w:rPr>
      </w:pPr>
      <w:r>
        <w:rPr>
          <w:rFonts w:hint="eastAsia" w:ascii="黑体" w:hAnsi="黑体" w:eastAsia="黑体" w:cs="黑体"/>
          <w:spacing w:val="0"/>
          <w:kern w:val="0"/>
          <w:sz w:val="32"/>
          <w:szCs w:val="32"/>
          <w:lang w:val="en-US" w:eastAsia="zh-CN" w:bidi="ar"/>
        </w:rPr>
        <w:t>二、强化产学研对接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鼓励预制菜企业加强与高等院校、科研院所等机构交流合作，建立产学研深度合作模式，开展核心技术攻关。与山东理工大学共建“淄博市食品产业技术创新研究院”，聘请企业主要负责人担任山东理工大学的产业导师，根据企业科研需求聘请山东理工大学专家教授担任企业的科技副总，</w:t>
      </w:r>
      <w:r>
        <w:rPr>
          <w:rFonts w:hint="default" w:ascii="Times New Roman" w:hAnsi="Times New Roman" w:eastAsia="仿宋_GB2312" w:cs="Times New Roman"/>
          <w:sz w:val="32"/>
          <w:szCs w:val="32"/>
          <w:lang w:eastAsia="zh-CN"/>
        </w:rPr>
        <w:t>围绕关键技术领域，开展技术研发及产业化工作。</w:t>
      </w:r>
      <w:r>
        <w:rPr>
          <w:rFonts w:hint="default" w:ascii="Times New Roman" w:hAnsi="Times New Roman" w:eastAsia="仿宋_GB2312" w:cs="Times New Roman"/>
          <w:sz w:val="32"/>
          <w:szCs w:val="32"/>
          <w:lang w:val="en-US" w:eastAsia="zh-CN"/>
        </w:rPr>
        <w:t>组织企业参加山东理工大学服务淄博推进会，在食品产业专场企业与高校老师面对面交流洽谈，对接合作需求。</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eastAsia" w:ascii="黑体" w:hAnsi="黑体" w:eastAsia="黑体" w:cs="黑体"/>
          <w:spacing w:val="0"/>
          <w:kern w:val="0"/>
          <w:sz w:val="32"/>
          <w:szCs w:val="32"/>
          <w:lang w:val="en-US" w:eastAsia="zh-CN" w:bidi="ar"/>
        </w:rPr>
      </w:pPr>
      <w:r>
        <w:rPr>
          <w:rFonts w:hint="eastAsia" w:ascii="黑体" w:hAnsi="黑体" w:eastAsia="黑体" w:cs="黑体"/>
          <w:spacing w:val="0"/>
          <w:kern w:val="0"/>
          <w:sz w:val="32"/>
          <w:szCs w:val="32"/>
          <w:lang w:val="en-US" w:eastAsia="zh-CN" w:bidi="ar"/>
        </w:rPr>
        <w:t>三、严格食品生产企业监管</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加强对获证预制</w:t>
      </w:r>
      <w:r>
        <w:rPr>
          <w:rFonts w:hint="default" w:ascii="Times New Roman" w:hAnsi="Times New Roman" w:eastAsia="仿宋_GB2312" w:cs="Times New Roman"/>
          <w:sz w:val="32"/>
          <w:szCs w:val="32"/>
          <w:lang w:val="en-US" w:eastAsia="zh-CN"/>
        </w:rPr>
        <w:t>菜</w:t>
      </w:r>
      <w:r>
        <w:rPr>
          <w:rFonts w:hint="default" w:ascii="Times New Roman" w:hAnsi="Times New Roman" w:eastAsia="仿宋_GB2312" w:cs="Times New Roman"/>
          <w:sz w:val="32"/>
          <w:szCs w:val="32"/>
          <w:lang w:eastAsia="zh-CN"/>
        </w:rPr>
        <w:t>食品生产企业的监管，严格按照《食品生产经营日常监督检查管理办法》进行检查，对进货查验、生产操作过程、检验过程和</w:t>
      </w:r>
      <w:r>
        <w:rPr>
          <w:rFonts w:hint="default" w:ascii="Times New Roman" w:hAnsi="Times New Roman" w:eastAsia="仿宋_GB2312" w:cs="Times New Roman"/>
          <w:sz w:val="32"/>
          <w:szCs w:val="32"/>
          <w:lang w:val="en-US" w:eastAsia="zh-CN"/>
        </w:rPr>
        <w:t>生产</w:t>
      </w:r>
      <w:r>
        <w:rPr>
          <w:rFonts w:hint="default" w:ascii="Times New Roman" w:hAnsi="Times New Roman" w:eastAsia="仿宋_GB2312" w:cs="Times New Roman"/>
          <w:sz w:val="32"/>
          <w:szCs w:val="32"/>
          <w:lang w:eastAsia="zh-CN"/>
        </w:rPr>
        <w:t>记录、</w:t>
      </w:r>
      <w:r>
        <w:rPr>
          <w:rFonts w:hint="default" w:ascii="Times New Roman" w:hAnsi="Times New Roman" w:eastAsia="仿宋_GB2312" w:cs="Times New Roman"/>
          <w:sz w:val="32"/>
          <w:szCs w:val="32"/>
          <w:lang w:val="en-US" w:eastAsia="zh-CN"/>
        </w:rPr>
        <w:t>储存运输等环节</w:t>
      </w:r>
      <w:r>
        <w:rPr>
          <w:rFonts w:hint="default" w:ascii="Times New Roman" w:hAnsi="Times New Roman" w:eastAsia="仿宋_GB2312" w:cs="Times New Roman"/>
          <w:sz w:val="32"/>
          <w:szCs w:val="32"/>
          <w:lang w:eastAsia="zh-CN"/>
        </w:rPr>
        <w:t>进行重点检查。督促预制菜生产企业按照《企业落实食品安全主体责任监督管理规定》要求，建立健全食品安全管理制度，加强食品生产风险管控，</w:t>
      </w:r>
      <w:r>
        <w:rPr>
          <w:rFonts w:hint="default" w:ascii="Times New Roman" w:hAnsi="Times New Roman" w:eastAsia="仿宋_GB2312" w:cs="Times New Roman"/>
          <w:sz w:val="32"/>
          <w:szCs w:val="32"/>
          <w:lang w:val="en-US" w:eastAsia="zh-CN"/>
        </w:rPr>
        <w:t>落实“日管控、周排查、月调度”制度，</w:t>
      </w:r>
      <w:r>
        <w:rPr>
          <w:rFonts w:hint="default" w:ascii="Times New Roman" w:hAnsi="Times New Roman" w:eastAsia="仿宋_GB2312" w:cs="Times New Roman"/>
          <w:sz w:val="32"/>
          <w:szCs w:val="32"/>
          <w:lang w:eastAsia="zh-CN"/>
        </w:rPr>
        <w:t>严把原料质量关，依法查验食用农产品原料的承诺达标合格证等产品质量合格证明，严格食品添加剂使用，切实保障预制菜产品食品安全。同时，对预制</w:t>
      </w:r>
      <w:r>
        <w:rPr>
          <w:rFonts w:hint="default" w:ascii="Times New Roman" w:hAnsi="Times New Roman" w:eastAsia="仿宋_GB2312" w:cs="Times New Roman"/>
          <w:sz w:val="32"/>
          <w:szCs w:val="32"/>
          <w:lang w:val="en-US" w:eastAsia="zh-CN"/>
        </w:rPr>
        <w:t>菜</w:t>
      </w:r>
      <w:r>
        <w:rPr>
          <w:rFonts w:hint="default" w:ascii="Times New Roman" w:hAnsi="Times New Roman" w:eastAsia="仿宋_GB2312" w:cs="Times New Roman"/>
          <w:sz w:val="32"/>
          <w:szCs w:val="32"/>
          <w:lang w:eastAsia="zh-CN"/>
        </w:rPr>
        <w:t>生产企业的产品进行“四级”抽检检测，严厉打击违法违规行为，确保上市食品质量安全。</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四、严格餐饮安全监管</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督促餐饮服务提供者严格落实食品安全主体责任，健全食品安全管理制度，制定食品安全风险管控清单，确保使用的包括预制菜在内的食品来源合法，加工制作的餐食质量安全。开展餐饮连锁服务企业排查整治专项行动，对我市餐饮连锁总部、中央厨房进行帮扶规范提升，落实统一管理制度、运营管理、自查巡查、原料采购、配送管理、应急处置“六个统一”要求。开展连锁餐饮总部、中央厨房、门店全覆盖排查整治，强化连锁餐饮领域食品安全全程管理，规范采购、贮存、加工制作预制菜等食品，确保供应的餐食符合餐饮食品安全的法律法规和标准要求。</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eastAsia" w:ascii="黑体" w:hAnsi="黑体" w:eastAsia="黑体" w:cs="黑体"/>
          <w:i w:val="0"/>
          <w:caps w:val="0"/>
          <w:color w:val="000000"/>
          <w:spacing w:val="0"/>
          <w:sz w:val="32"/>
          <w:szCs w:val="32"/>
          <w:lang w:eastAsia="zh-CN"/>
        </w:rPr>
      </w:pPr>
      <w:r>
        <w:rPr>
          <w:rFonts w:hint="eastAsia" w:ascii="黑体" w:hAnsi="黑体" w:eastAsia="黑体" w:cs="黑体"/>
          <w:i w:val="0"/>
          <w:caps w:val="0"/>
          <w:color w:val="000000"/>
          <w:spacing w:val="0"/>
          <w:sz w:val="32"/>
          <w:szCs w:val="32"/>
          <w:lang w:eastAsia="zh-CN"/>
        </w:rPr>
        <w:t>五、坚持标准引领</w:t>
      </w:r>
    </w:p>
    <w:p>
      <w:pPr>
        <w:keepNext w:val="0"/>
        <w:keepLines w:val="0"/>
        <w:pageBreakBefore w:val="0"/>
        <w:widowControl w:val="0"/>
        <w:kinsoku/>
        <w:wordWrap/>
        <w:overflowPunct/>
        <w:topLinePunct w:val="0"/>
        <w:autoSpaceDE/>
        <w:autoSpaceDN/>
        <w:bidi w:val="0"/>
        <w:adjustRightInd/>
        <w:snapToGrid/>
        <w:spacing w:line="560" w:lineRule="exact"/>
        <w:ind w:firstLine="720"/>
        <w:jc w:val="both"/>
        <w:textAlignment w:val="auto"/>
        <w:rPr>
          <w:rFonts w:hint="default" w:ascii="Times New Roman" w:hAnsi="Times New Roman" w:eastAsia="仿宋_GB2312"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rPr>
        <w:t>指导开展预制菜产业标准化试点示范项目建设。在全市范围内组织开展山东省标准化创新发展项目申报工作，挖掘和推荐山东知味斋餐饮娱乐有限公司承担的知味斋餐饮住宿服务标准化试点列为省级标准化试点项目申报对象，并指导该项目材料报送。积极搭建预制菜领域标准化合作平台。发挥市标准化研究院、市标准化协会、高质院（淄博）等组织技术优势，指导和推动我市相关企业主导和参与预制菜领域的标准制修订工作。发挥全市标准信息服务平台功能，为社会提供预制菜领域标准技术组织和相关标准检索服务。依托预制菜生产经营企业，着力推动预制菜质量安全监管规范体系构建，逐步制定和完善从田间到车间、到消费者的，包括预制菜生产、加工、冷藏冷冻及冷链物流等环节工作在内的国家标准、行业标准、地方标准和团体标准等系列标准，推动实现生产标准化、风味标准化、质量标准化，打造具有“中国淄味”特色的预制菜产业标准体系，打造以博山菜为特色的预制菜品牌。</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spacing w:val="0"/>
          <w:sz w:val="32"/>
          <w:szCs w:val="32"/>
          <w:lang w:eastAsia="zh-CN"/>
        </w:rPr>
      </w:pPr>
      <w:bookmarkStart w:id="0" w:name="_GoBack"/>
      <w:r>
        <w:rPr>
          <w:rFonts w:hint="eastAsia" w:ascii="黑体" w:hAnsi="黑体" w:eastAsia="黑体" w:cs="黑体"/>
          <w:spacing w:val="0"/>
          <w:sz w:val="32"/>
          <w:szCs w:val="32"/>
          <w:lang w:eastAsia="zh-CN"/>
        </w:rPr>
        <w:t>六、强化品牌建设</w:t>
      </w:r>
    </w:p>
    <w:bookmarkEnd w:id="0"/>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pacing w:val="0"/>
          <w:kern w:val="0"/>
          <w:sz w:val="32"/>
          <w:szCs w:val="32"/>
          <w:lang w:val="en-US" w:eastAsia="zh-CN" w:bidi="ar-SA"/>
        </w:rPr>
      </w:pPr>
      <w:r>
        <w:rPr>
          <w:rFonts w:hint="default" w:ascii="Times New Roman" w:hAnsi="Times New Roman" w:eastAsia="仿宋_GB2312" w:cs="Times New Roman"/>
          <w:color w:val="auto"/>
          <w:spacing w:val="0"/>
          <w:kern w:val="0"/>
          <w:sz w:val="32"/>
          <w:szCs w:val="32"/>
          <w:lang w:val="en-US" w:eastAsia="zh-CN" w:bidi="ar-SA"/>
        </w:rPr>
        <w:t>支持符合条件的预制食品纳入省特色优质食品目录。举办</w:t>
      </w:r>
      <w:r>
        <w:rPr>
          <w:rFonts w:hint="default" w:ascii="Times New Roman" w:hAnsi="Times New Roman" w:eastAsia="仿宋_GB2312" w:cs="Times New Roman"/>
          <w:i w:val="0"/>
          <w:caps w:val="0"/>
          <w:color w:val="auto"/>
          <w:spacing w:val="0"/>
          <w:sz w:val="32"/>
          <w:szCs w:val="32"/>
          <w:lang w:val="en-US" w:eastAsia="zh-CN"/>
        </w:rPr>
        <w:t>第三届“十大淄博品牌食品”（预制食品）选树活动，不断提升品牌影响力。淄博知味斋肴鸡、清梅居香酥牛肉干等10个产品入选第三届“十大淄博品牌食品”，齐闻酒焖酥鱼锅、候立平炒鸡等9个产品入选“淄博优秀品牌食品”。</w:t>
      </w:r>
      <w:r>
        <w:rPr>
          <w:rFonts w:hint="default" w:ascii="Times New Roman" w:hAnsi="Times New Roman" w:eastAsia="仿宋_GB2312" w:cs="Times New Roman"/>
          <w:color w:val="auto"/>
          <w:spacing w:val="0"/>
          <w:kern w:val="0"/>
          <w:sz w:val="32"/>
          <w:szCs w:val="32"/>
          <w:lang w:val="en-US" w:eastAsia="zh-CN" w:bidi="ar-SA"/>
        </w:rPr>
        <w:t>积极</w:t>
      </w:r>
      <w:r>
        <w:rPr>
          <w:rFonts w:hint="default" w:ascii="Times New Roman" w:hAnsi="Times New Roman" w:eastAsia="仿宋_GB2312" w:cs="Times New Roman"/>
          <w:b w:val="0"/>
          <w:bCs w:val="0"/>
          <w:color w:val="auto"/>
          <w:kern w:val="2"/>
          <w:sz w:val="32"/>
          <w:szCs w:val="32"/>
          <w:lang w:val="en-US" w:eastAsia="zh-CN" w:bidi="ar-SA"/>
        </w:rPr>
        <w:t>组织企业参</w:t>
      </w:r>
      <w:r>
        <w:rPr>
          <w:rFonts w:hint="default" w:ascii="Times New Roman" w:hAnsi="Times New Roman" w:eastAsia="仿宋_GB2312" w:cs="Times New Roman"/>
          <w:color w:val="auto"/>
          <w:spacing w:val="0"/>
          <w:kern w:val="0"/>
          <w:sz w:val="32"/>
          <w:szCs w:val="32"/>
          <w:lang w:val="en-US" w:eastAsia="zh-CN" w:bidi="ar-SA"/>
        </w:rPr>
        <w:t>加全国糖酒会等大型食品展会，借助重点展会平台，进一步拓展对外交流合作“朋友圈”，全面塑强淄博预制菜品牌。</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仿宋_GB2312" w:cs="Times New Roman"/>
          <w:sz w:val="32"/>
          <w:szCs w:val="32"/>
        </w:rPr>
      </w:pP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eastAsia="zh-CN"/>
        </w:rPr>
        <w:t>淄博市工业和信息化局</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u w:val="none"/>
          <w:lang w:val="en-US" w:eastAsia="zh-CN"/>
        </w:rPr>
        <w:t>2025</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none"/>
          <w:lang w:val="en-US" w:eastAsia="zh-CN"/>
        </w:rPr>
        <w:t>7</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none"/>
          <w:lang w:val="en-US" w:eastAsia="zh-CN"/>
        </w:rPr>
        <w:t>22</w:t>
      </w:r>
      <w:r>
        <w:rPr>
          <w:rFonts w:hint="default" w:ascii="Times New Roman" w:hAns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（联系单位：淄博市工业和信息化局，联系人：</w:t>
      </w:r>
      <w:r>
        <w:rPr>
          <w:rFonts w:hint="default" w:ascii="Times New Roman" w:hAnsi="Times New Roman" w:eastAsia="仿宋_GB2312" w:cs="Times New Roman"/>
          <w:spacing w:val="0"/>
          <w:sz w:val="32"/>
          <w:szCs w:val="32"/>
          <w:lang w:eastAsia="zh-CN"/>
        </w:rPr>
        <w:t>金佳琦</w:t>
      </w:r>
      <w:r>
        <w:rPr>
          <w:rFonts w:hint="default" w:ascii="Times New Roman" w:hAnsi="Times New Roman" w:eastAsia="仿宋_GB2312" w:cs="Times New Roman"/>
          <w:spacing w:val="0"/>
          <w:sz w:val="32"/>
          <w:szCs w:val="32"/>
        </w:rPr>
        <w:t>，联系电话：</w:t>
      </w:r>
      <w:r>
        <w:rPr>
          <w:rFonts w:hint="default" w:ascii="Times New Roman" w:hAnsi="Times New Roman" w:eastAsia="仿宋_GB2312" w:cs="Times New Roman"/>
          <w:spacing w:val="0"/>
          <w:sz w:val="32"/>
          <w:szCs w:val="32"/>
          <w:lang w:val="en-US" w:eastAsia="zh-CN"/>
        </w:rPr>
        <w:t>3183475</w:t>
      </w:r>
      <w:r>
        <w:rPr>
          <w:rFonts w:hint="default" w:ascii="Times New Roman" w:hAnsi="Times New Roman" w:eastAsia="仿宋_GB2312" w:cs="Times New Roman"/>
          <w:spacing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（此件</w:t>
      </w:r>
      <w:r>
        <w:rPr>
          <w:rFonts w:hint="eastAsia" w:ascii="Times New Roman" w:hAnsi="Times New Roman" w:eastAsia="仿宋_GB2312" w:cs="Times New Roman"/>
          <w:spacing w:val="0"/>
          <w:sz w:val="32"/>
          <w:szCs w:val="32"/>
          <w:lang w:val="en-US" w:eastAsia="zh-CN"/>
        </w:rPr>
        <w:t>公开发布</w:t>
      </w:r>
      <w:r>
        <w:rPr>
          <w:rFonts w:hint="default" w:ascii="Times New Roman" w:hAnsi="Times New Roman" w:eastAsia="仿宋_GB2312" w:cs="Times New Roman"/>
          <w:spacing w:val="0"/>
          <w:sz w:val="32"/>
          <w:szCs w:val="32"/>
          <w:lang w:eastAsia="zh-CN"/>
        </w:rPr>
        <w:t>）</w:t>
      </w:r>
    </w:p>
    <w:p>
      <w:pPr>
        <w:pStyle w:val="2"/>
        <w:rPr>
          <w:rFonts w:hint="default" w:ascii="Times New Roman" w:hAnsi="Times New Roman" w:cs="Times New Roman"/>
          <w:lang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0"/>
        </w:pBdr>
        <w:kinsoku/>
        <w:wordWrap/>
        <w:overflowPunct/>
        <w:topLinePunct w:val="0"/>
        <w:autoSpaceDE/>
        <w:autoSpaceDN/>
        <w:bidi w:val="0"/>
        <w:adjustRightInd/>
        <w:snapToGrid/>
        <w:spacing w:line="600" w:lineRule="exact"/>
        <w:ind w:left="0" w:leftChars="0" w:firstLine="280" w:firstLineChars="100"/>
        <w:jc w:val="both"/>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抄送：</w:t>
      </w:r>
      <w:r>
        <w:rPr>
          <w:rFonts w:hint="default" w:ascii="Times New Roman" w:hAnsi="Times New Roman" w:eastAsia="仿宋_GB2312" w:cs="Times New Roman"/>
          <w:spacing w:val="0"/>
          <w:sz w:val="28"/>
          <w:szCs w:val="28"/>
        </w:rPr>
        <w:t>市委办公室、市政府办公室</w:t>
      </w:r>
      <w:r>
        <w:rPr>
          <w:rFonts w:hint="default" w:ascii="Times New Roman" w:hAnsi="Times New Roman" w:eastAsia="仿宋_GB2312" w:cs="Times New Roman"/>
          <w:spacing w:val="0"/>
          <w:sz w:val="28"/>
          <w:szCs w:val="28"/>
          <w:lang w:eastAsia="zh-CN"/>
        </w:rPr>
        <w:t>，</w:t>
      </w:r>
      <w:r>
        <w:rPr>
          <w:rFonts w:hint="default" w:ascii="Times New Roman" w:hAnsi="Times New Roman" w:eastAsia="仿宋_GB2312" w:cs="Times New Roman"/>
          <w:spacing w:val="0"/>
          <w:sz w:val="28"/>
          <w:szCs w:val="28"/>
        </w:rPr>
        <w:t>市政协提案工作委员会</w:t>
      </w:r>
      <w:r>
        <w:rPr>
          <w:rFonts w:hint="default" w:ascii="Times New Roman" w:hAnsi="Times New Roman" w:eastAsia="仿宋_GB2312" w:cs="Times New Roman"/>
          <w:spacing w:val="0"/>
          <w:sz w:val="28"/>
          <w:szCs w:val="28"/>
          <w:lang w:eastAsia="zh-CN"/>
        </w:rPr>
        <w:t>。</w:t>
      </w:r>
    </w:p>
    <w:p>
      <w:pPr>
        <w:pStyle w:val="2"/>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0"/>
        </w:pBdr>
        <w:kinsoku/>
        <w:wordWrap/>
        <w:overflowPunct/>
        <w:topLinePunct w:val="0"/>
        <w:autoSpaceDE/>
        <w:autoSpaceDN/>
        <w:bidi w:val="0"/>
        <w:adjustRightInd/>
        <w:snapToGrid/>
        <w:ind w:left="0" w:leftChars="0"/>
        <w:jc w:val="both"/>
        <w:textAlignment w:val="auto"/>
        <w:rPr>
          <w:rFonts w:hint="default" w:ascii="Times New Roman" w:hAnsi="Times New Roman" w:cs="Times New Roman"/>
        </w:rPr>
      </w:pPr>
      <w:r>
        <w:rPr>
          <w:rFonts w:hint="default" w:ascii="Times New Roman" w:hAnsi="Times New Roman" w:eastAsia="仿宋_GB2312" w:cs="Times New Roman"/>
          <w:sz w:val="28"/>
          <w:szCs w:val="28"/>
          <w:lang w:val="en-US" w:eastAsia="zh-CN"/>
        </w:rPr>
        <w:t xml:space="preserve">  淄博市工业和信息化局办公室              2025年</w:t>
      </w:r>
      <w:r>
        <w:rPr>
          <w:rFonts w:hint="default" w:ascii="Times New Roman" w:hAnsi="Times New Roman" w:cs="Times New Roman"/>
          <w:spacing w:val="-20"/>
          <w:sz w:val="28"/>
          <w:szCs w:val="28"/>
          <w:u w:val="none"/>
          <w:lang w:val="en-US" w:eastAsia="zh-CN"/>
        </w:rPr>
        <w:t>7</w:t>
      </w:r>
      <w:r>
        <w:rPr>
          <w:rFonts w:hint="default" w:ascii="Times New Roman" w:hAnsi="Times New Roman" w:eastAsia="仿宋_GB2312" w:cs="Times New Roman"/>
          <w:sz w:val="28"/>
          <w:szCs w:val="28"/>
          <w:lang w:val="en-US" w:eastAsia="zh-CN"/>
        </w:rPr>
        <w:t>月</w:t>
      </w:r>
      <w:r>
        <w:rPr>
          <w:rFonts w:hint="default" w:ascii="Times New Roman" w:hAnsi="Times New Roman" w:cs="Times New Roman"/>
          <w:spacing w:val="-20"/>
          <w:sz w:val="28"/>
          <w:szCs w:val="28"/>
          <w:u w:val="none"/>
          <w:lang w:val="en-US" w:eastAsia="zh-CN"/>
        </w:rPr>
        <w:t>22</w:t>
      </w:r>
      <w:r>
        <w:rPr>
          <w:rFonts w:hint="default" w:ascii="Times New Roman" w:hAnsi="Times New Roman" w:eastAsia="仿宋_GB2312" w:cs="Times New Roman"/>
          <w:sz w:val="28"/>
          <w:szCs w:val="28"/>
          <w:lang w:val="en-US" w:eastAsia="zh-CN"/>
        </w:rPr>
        <w:t>日印发</w:t>
      </w:r>
    </w:p>
    <w:sectPr>
      <w:footerReference r:id="rId3" w:type="default"/>
      <w:pgSz w:w="11906" w:h="16838"/>
      <w:pgMar w:top="2098" w:right="1474" w:bottom="1984" w:left="1587" w:header="851" w:footer="113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altName w:val="Arial Unicode MS"/>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rPr>
        <w:rFonts w:hint="eastAsia"/>
        <w:sz w:val="18"/>
      </w:rP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pPr>
                          <w:r>
                            <w:rPr>
                              <w:rFonts w:hint="eastAsia"/>
                              <w:sz w:val="18"/>
                            </w:rPr>
                            <w:t xml:space="preserve">— </w:t>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eastAsia" w:ascii="仿宋_GB2312" w:hAnsi="仿宋_GB2312" w:eastAsia="仿宋_GB2312" w:cs="仿宋_GB2312"/>
                              <w:sz w:val="24"/>
                              <w:szCs w:val="24"/>
                            </w:rPr>
                            <w:t xml:space="preserve"> </w:t>
                          </w:r>
                          <w:r>
                            <w:rPr>
                              <w:rFonts w:hint="eastAsia"/>
                              <w:sz w:val="1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pPr>
                    <w:r>
                      <w:rPr>
                        <w:rFonts w:hint="eastAsia"/>
                        <w:sz w:val="18"/>
                      </w:rPr>
                      <w:t xml:space="preserve">— </w:t>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eastAsia" w:ascii="仿宋_GB2312" w:hAnsi="仿宋_GB2312" w:eastAsia="仿宋_GB2312" w:cs="仿宋_GB2312"/>
                        <w:sz w:val="24"/>
                        <w:szCs w:val="24"/>
                      </w:rPr>
                      <w:t xml:space="preserve"> </w:t>
                    </w:r>
                    <w:r>
                      <w:rPr>
                        <w:rFonts w:hint="eastAsia"/>
                        <w:sz w:val="18"/>
                      </w:rPr>
                      <w:t>—</w:t>
                    </w: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FA96458"/>
    <w:rsid w:val="36797BAE"/>
    <w:rsid w:val="36DF8453"/>
    <w:rsid w:val="3DB7CDA1"/>
    <w:rsid w:val="3DBFC277"/>
    <w:rsid w:val="3FDDC319"/>
    <w:rsid w:val="4A1947CF"/>
    <w:rsid w:val="4BFC6C5D"/>
    <w:rsid w:val="53AA0C06"/>
    <w:rsid w:val="549B59FA"/>
    <w:rsid w:val="59BD0741"/>
    <w:rsid w:val="59DE9880"/>
    <w:rsid w:val="5FDC0627"/>
    <w:rsid w:val="5FFC7CB3"/>
    <w:rsid w:val="68DA604B"/>
    <w:rsid w:val="6E476D03"/>
    <w:rsid w:val="6F602E32"/>
    <w:rsid w:val="6FDF87F2"/>
    <w:rsid w:val="76FF3798"/>
    <w:rsid w:val="7BF3425E"/>
    <w:rsid w:val="7C7FF4DD"/>
    <w:rsid w:val="7D7EE42D"/>
    <w:rsid w:val="7D7FA68C"/>
    <w:rsid w:val="7DDF3660"/>
    <w:rsid w:val="7EADFD64"/>
    <w:rsid w:val="7F3EF6FC"/>
    <w:rsid w:val="8EDB9C17"/>
    <w:rsid w:val="9FFB1281"/>
    <w:rsid w:val="AFD9C48C"/>
    <w:rsid w:val="B1FF1B18"/>
    <w:rsid w:val="B4D9BAB1"/>
    <w:rsid w:val="BDCE453A"/>
    <w:rsid w:val="BE3F2335"/>
    <w:rsid w:val="BFB9EC83"/>
    <w:rsid w:val="D675BD6C"/>
    <w:rsid w:val="D7F7016C"/>
    <w:rsid w:val="DBF94130"/>
    <w:rsid w:val="EFDE975C"/>
    <w:rsid w:val="F3FF5FD9"/>
    <w:rsid w:val="F8BDFDF4"/>
    <w:rsid w:val="FBD76F27"/>
    <w:rsid w:val="FDDED380"/>
    <w:rsid w:val="FF858927"/>
    <w:rsid w:val="FF957F21"/>
    <w:rsid w:val="FFB70474"/>
    <w:rsid w:val="FFCA7C3D"/>
    <w:rsid w:val="FFEDB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pPr>
      <w:suppressAutoHyphens/>
      <w:bidi w:val="0"/>
    </w:pPr>
    <w:rPr>
      <w:rFonts w:ascii="宋体" w:hAnsi="Courier New" w:eastAsia="宋体" w:cs="宋体"/>
      <w:szCs w:val="22"/>
    </w:rPr>
  </w:style>
  <w:style w:type="paragraph" w:styleId="3">
    <w:name w:val="Body Text"/>
    <w:basedOn w:val="1"/>
    <w:next w:val="1"/>
    <w:qFormat/>
    <w:uiPriority w:val="0"/>
    <w:pPr>
      <w:widowControl w:val="0"/>
      <w:spacing w:before="0" w:after="120"/>
      <w:ind w:left="0" w:right="0"/>
      <w:jc w:val="both"/>
    </w:pPr>
    <w:rPr>
      <w:rFonts w:ascii="Calibri" w:hAnsi="Calibri" w:eastAsia="仿宋_GB2312" w:cs="Times New Roman"/>
      <w:snapToGrid w:val="0"/>
      <w:kern w:val="2"/>
      <w:sz w:val="32"/>
      <w:szCs w:val="24"/>
      <w:lang w:val="en-US" w:eastAsia="zh-CN" w:bidi="ar-SA"/>
    </w:rPr>
  </w:style>
  <w:style w:type="paragraph" w:styleId="4">
    <w:name w:val="Balloon Text"/>
    <w:basedOn w:val="1"/>
    <w:next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样式 首行缩进:  2 字符"/>
    <w:basedOn w:val="1"/>
    <w:qFormat/>
    <w:uiPriority w:val="0"/>
    <w:pPr>
      <w:ind w:firstLine="560"/>
    </w:pPr>
    <w:rPr>
      <w:rFonts w:ascii="Calibri" w:hAnsi="Calibri" w:eastAsia="仿宋_GB2312" w:cs="宋体"/>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2018-07-13T07:11:00Z</dcterms:created>
  <dc:creator>d</dc:creator>
  <cp:lastModifiedBy>lenovo</cp:lastModifiedBy>
  <cp:lastPrinted>2025-07-25T08:04:59Z</cp:lastPrinted>
  <dcterms:modified xsi:type="dcterms:W3CDTF">2025-07-25T08:05:02Z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