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ind w:firstLine="764" w:firstLineChars="200"/>
        <w:jc w:val="center"/>
        <w:textAlignment w:val="auto"/>
        <w:rPr>
          <w:rFonts w:hint="eastAsia" w:ascii="方正小标宋_GBK" w:hAnsi="方正小标宋_GBK" w:eastAsia="方正小标宋_GBK" w:cs="方正小标宋_GBK"/>
          <w:spacing w:val="11"/>
          <w:sz w:val="36"/>
          <w:szCs w:val="36"/>
        </w:rPr>
      </w:pPr>
      <w:r>
        <w:rPr>
          <w:rFonts w:hint="eastAsia" w:ascii="方正小标宋_GBK" w:hAnsi="方正小标宋_GBK" w:eastAsia="方正小标宋_GBK" w:cs="方正小标宋_GBK"/>
          <w:spacing w:val="11"/>
          <w:sz w:val="36"/>
          <w:szCs w:val="36"/>
        </w:rPr>
        <w:t>淄博市工业和信息化局</w:t>
      </w:r>
    </w:p>
    <w:p>
      <w:pPr>
        <w:keepNext w:val="0"/>
        <w:keepLines w:val="0"/>
        <w:pageBreakBefore w:val="0"/>
        <w:widowControl w:val="0"/>
        <w:kinsoku/>
        <w:wordWrap/>
        <w:overflowPunct/>
        <w:topLinePunct w:val="0"/>
        <w:autoSpaceDE w:val="0"/>
        <w:autoSpaceDN w:val="0"/>
        <w:bidi w:val="0"/>
        <w:adjustRightInd/>
        <w:snapToGrid/>
        <w:ind w:firstLine="764" w:firstLineChars="200"/>
        <w:jc w:val="center"/>
        <w:textAlignment w:val="auto"/>
        <w:rPr>
          <w:rFonts w:hint="eastAsia" w:ascii="方正小标宋_GBK" w:hAnsi="方正小标宋_GBK" w:eastAsia="方正小标宋_GBK" w:cs="方正小标宋_GBK"/>
          <w:spacing w:val="11"/>
          <w:sz w:val="36"/>
          <w:szCs w:val="36"/>
        </w:rPr>
      </w:pPr>
      <w:r>
        <w:rPr>
          <w:rFonts w:hint="eastAsia" w:ascii="方正小标宋_GBK" w:hAnsi="方正小标宋_GBK" w:eastAsia="方正小标宋_GBK" w:cs="方正小标宋_GBK"/>
          <w:spacing w:val="11"/>
          <w:sz w:val="36"/>
          <w:szCs w:val="36"/>
          <w:lang w:val="en-US" w:eastAsia="zh-CN"/>
        </w:rPr>
        <w:t>2020</w:t>
      </w:r>
      <w:r>
        <w:rPr>
          <w:rFonts w:hint="eastAsia" w:ascii="方正小标宋_GBK" w:hAnsi="方正小标宋_GBK" w:eastAsia="方正小标宋_GBK" w:cs="方正小标宋_GBK"/>
          <w:spacing w:val="11"/>
          <w:sz w:val="36"/>
          <w:szCs w:val="36"/>
        </w:rPr>
        <w:t>年度政府信息公开工作年度报告</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rPr>
      </w:pP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黑体" w:hAnsi="黑体" w:eastAsia="黑体" w:cs="黑体"/>
          <w:spacing w:val="11"/>
          <w:sz w:val="32"/>
          <w:szCs w:val="32"/>
        </w:rPr>
      </w:pPr>
      <w:r>
        <w:rPr>
          <w:rFonts w:hint="eastAsia" w:ascii="黑体" w:hAnsi="黑体" w:eastAsia="黑体" w:cs="黑体"/>
          <w:spacing w:val="11"/>
          <w:sz w:val="32"/>
          <w:szCs w:val="32"/>
        </w:rPr>
        <w:t>一、总体情况</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根据《政府信息公开条例》（以下简称《条例》）以及省市政府信息公开工作部署要求，特向社会公布</w:t>
      </w:r>
      <w:r>
        <w:rPr>
          <w:rFonts w:hint="eastAsia" w:ascii="仿宋_GB2312" w:hAnsi="仿宋_GB2312" w:eastAsia="仿宋_GB2312" w:cs="仿宋_GB2312"/>
          <w:spacing w:val="11"/>
          <w:sz w:val="32"/>
          <w:szCs w:val="32"/>
          <w:lang w:val="en-US" w:eastAsia="zh-CN"/>
        </w:rPr>
        <w:t>2020</w:t>
      </w:r>
      <w:r>
        <w:rPr>
          <w:rFonts w:hint="eastAsia" w:ascii="仿宋_GB2312" w:hAnsi="仿宋_GB2312" w:eastAsia="仿宋_GB2312" w:cs="仿宋_GB2312"/>
          <w:spacing w:val="11"/>
          <w:sz w:val="32"/>
          <w:szCs w:val="32"/>
        </w:rPr>
        <w:t>年度淄博市工业和信息化局信息公开总体情况。总体情况中所列数据的统计期限自20</w:t>
      </w:r>
      <w:r>
        <w:rPr>
          <w:rFonts w:hint="eastAsia" w:ascii="仿宋_GB2312" w:hAnsi="仿宋_GB2312" w:eastAsia="仿宋_GB2312" w:cs="仿宋_GB2312"/>
          <w:spacing w:val="11"/>
          <w:sz w:val="32"/>
          <w:szCs w:val="32"/>
          <w:lang w:val="en-US" w:eastAsia="zh-CN"/>
        </w:rPr>
        <w:t>20</w:t>
      </w:r>
      <w:r>
        <w:rPr>
          <w:rFonts w:hint="eastAsia" w:ascii="仿宋_GB2312" w:hAnsi="仿宋_GB2312" w:eastAsia="仿宋_GB2312" w:cs="仿宋_GB2312"/>
          <w:spacing w:val="11"/>
          <w:sz w:val="32"/>
          <w:szCs w:val="32"/>
        </w:rPr>
        <w:t>年1月1日起至20</w:t>
      </w:r>
      <w:r>
        <w:rPr>
          <w:rFonts w:hint="eastAsia" w:ascii="仿宋_GB2312" w:hAnsi="仿宋_GB2312" w:eastAsia="仿宋_GB2312" w:cs="仿宋_GB2312"/>
          <w:spacing w:val="11"/>
          <w:sz w:val="32"/>
          <w:szCs w:val="32"/>
          <w:lang w:val="en-US" w:eastAsia="zh-CN"/>
        </w:rPr>
        <w:t>20</w:t>
      </w:r>
      <w:r>
        <w:rPr>
          <w:rFonts w:hint="eastAsia" w:ascii="仿宋_GB2312" w:hAnsi="仿宋_GB2312" w:eastAsia="仿宋_GB2312" w:cs="仿宋_GB2312"/>
          <w:spacing w:val="11"/>
          <w:sz w:val="32"/>
          <w:szCs w:val="32"/>
        </w:rPr>
        <w:t>年12月31日止。如有任何疑问，请与淄博市工信局办公室联系，联系电话：0533-312068，地址：淄博市张店区柳泉路63号501室。</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lang w:val="en-US" w:eastAsia="zh-CN"/>
        </w:rPr>
        <w:t>2020</w:t>
      </w:r>
      <w:r>
        <w:rPr>
          <w:rFonts w:hint="eastAsia" w:ascii="仿宋_GB2312" w:hAnsi="仿宋_GB2312" w:eastAsia="仿宋_GB2312" w:cs="仿宋_GB2312"/>
          <w:spacing w:val="11"/>
          <w:sz w:val="32"/>
          <w:szCs w:val="32"/>
        </w:rPr>
        <w:t>年，市工信局深入学习贯彻《条例》以及省市部署，围绕工作职能和中心工作，在政府信息公开组织领导和制度建设、主动公开、依申请公开、重点领域工作公开、公开平台建设、人大建议和政协提案办理、监督评议等方面狠下功夫，取得显著成效。</w:t>
      </w:r>
      <w:bookmarkStart w:id="0" w:name="_GoBack"/>
      <w:bookmarkEnd w:id="0"/>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楷体_GB2312" w:hAnsi="楷体_GB2312" w:eastAsia="楷体_GB2312" w:cs="楷体_GB2312"/>
          <w:spacing w:val="11"/>
          <w:sz w:val="32"/>
          <w:szCs w:val="32"/>
        </w:rPr>
      </w:pPr>
      <w:r>
        <w:rPr>
          <w:rFonts w:hint="eastAsia" w:ascii="楷体_GB2312" w:hAnsi="楷体_GB2312" w:eastAsia="楷体_GB2312" w:cs="楷体_GB2312"/>
          <w:spacing w:val="11"/>
          <w:sz w:val="32"/>
          <w:szCs w:val="32"/>
        </w:rPr>
        <w:t>（一）政府信息公开的组织领导和制度建设情况</w:t>
      </w:r>
    </w:p>
    <w:p>
      <w:pPr>
        <w:keepNext w:val="0"/>
        <w:keepLines w:val="0"/>
        <w:pageBreakBefore w:val="0"/>
        <w:widowControl w:val="0"/>
        <w:kinsoku/>
        <w:wordWrap/>
        <w:overflowPunct/>
        <w:topLinePunct w:val="0"/>
        <w:autoSpaceDE w:val="0"/>
        <w:autoSpaceDN w:val="0"/>
        <w:bidi w:val="0"/>
        <w:adjustRightInd/>
        <w:snapToGrid/>
        <w:ind w:firstLine="687"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b/>
          <w:bCs/>
          <w:spacing w:val="11"/>
          <w:sz w:val="32"/>
          <w:szCs w:val="32"/>
        </w:rPr>
        <w:t>一是组织领导机制健全</w:t>
      </w:r>
      <w:r>
        <w:rPr>
          <w:rFonts w:hint="eastAsia" w:ascii="仿宋_GB2312" w:hAnsi="仿宋_GB2312" w:eastAsia="仿宋_GB2312" w:cs="仿宋_GB2312"/>
          <w:spacing w:val="11"/>
          <w:sz w:val="32"/>
          <w:szCs w:val="32"/>
        </w:rPr>
        <w:t>。我局坚持把政府信息公开工作纳入重要议事日程，主要领导通过局长办公会等形式专门听取政府信息公开工作汇报。</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drawing>
          <wp:inline distT="0" distB="0" distL="114300" distR="114300">
            <wp:extent cx="5266690" cy="3950335"/>
            <wp:effectExtent l="0" t="0" r="3810" b="12065"/>
            <wp:docPr id="3" name="图片 3" descr="fb301994f1f9406d28d66609dc5af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b301994f1f9406d28d66609dc5af10"/>
                    <pic:cNvPicPr>
                      <a:picLocks noChangeAspect="1"/>
                    </pic:cNvPicPr>
                  </pic:nvPicPr>
                  <pic:blipFill>
                    <a:blip r:embed="rId5"/>
                    <a:stretch>
                      <a:fillRect/>
                    </a:stretch>
                  </pic:blipFill>
                  <pic:spPr>
                    <a:xfrm>
                      <a:off x="0" y="0"/>
                      <a:ext cx="5266690" cy="3950335"/>
                    </a:xfrm>
                    <a:prstGeom prst="rect">
                      <a:avLst/>
                    </a:prstGeom>
                  </pic:spPr>
                </pic:pic>
              </a:graphicData>
            </a:graphic>
          </wp:inline>
        </w:drawing>
      </w:r>
      <w:r>
        <w:rPr>
          <w:rFonts w:hint="eastAsia" w:ascii="仿宋_GB2312" w:hAnsi="仿宋_GB2312" w:eastAsia="仿宋_GB2312" w:cs="仿宋_GB2312"/>
          <w:spacing w:val="11"/>
          <w:sz w:val="32"/>
          <w:szCs w:val="32"/>
        </w:rPr>
        <w:t>严格落实《关于进一步加强政府信息公开工作实施方案的通知》要求，</w:t>
      </w:r>
      <w:r>
        <w:rPr>
          <w:rFonts w:hint="eastAsia" w:ascii="仿宋_GB2312" w:hAnsi="仿宋_GB2312" w:eastAsia="仿宋_GB2312" w:cs="仿宋_GB2312"/>
          <w:spacing w:val="11"/>
          <w:sz w:val="32"/>
          <w:szCs w:val="32"/>
          <w:lang w:eastAsia="zh-CN"/>
        </w:rPr>
        <w:t>优化调整了</w:t>
      </w:r>
      <w:r>
        <w:rPr>
          <w:rFonts w:hint="eastAsia" w:ascii="仿宋_GB2312" w:hAnsi="仿宋_GB2312" w:eastAsia="仿宋_GB2312" w:cs="仿宋_GB2312"/>
          <w:spacing w:val="11"/>
          <w:sz w:val="32"/>
          <w:szCs w:val="32"/>
        </w:rPr>
        <w:t>领导小组</w:t>
      </w:r>
      <w:r>
        <w:rPr>
          <w:rFonts w:hint="eastAsia" w:ascii="仿宋_GB2312" w:hAnsi="仿宋_GB2312" w:eastAsia="仿宋_GB2312" w:cs="仿宋_GB2312"/>
          <w:spacing w:val="11"/>
          <w:sz w:val="32"/>
          <w:szCs w:val="32"/>
          <w:lang w:eastAsia="zh-CN"/>
        </w:rPr>
        <w:t>，</w:t>
      </w:r>
      <w:r>
        <w:rPr>
          <w:rFonts w:hint="eastAsia" w:ascii="仿宋_GB2312" w:hAnsi="仿宋_GB2312" w:eastAsia="仿宋_GB2312" w:cs="仿宋_GB2312"/>
          <w:spacing w:val="11"/>
          <w:sz w:val="32"/>
          <w:szCs w:val="32"/>
        </w:rPr>
        <w:t>形成权责明晰、各司其职、相互协作、密切配合的工作机制。</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lang w:eastAsia="zh-CN"/>
        </w:rPr>
      </w:pPr>
      <w:r>
        <w:rPr>
          <w:rFonts w:hint="eastAsia" w:ascii="仿宋_GB2312" w:hAnsi="仿宋_GB2312" w:eastAsia="仿宋_GB2312" w:cs="仿宋_GB2312"/>
          <w:spacing w:val="11"/>
          <w:sz w:val="32"/>
          <w:szCs w:val="32"/>
          <w:lang w:eastAsia="zh-CN"/>
        </w:rPr>
        <w:drawing>
          <wp:inline distT="0" distB="0" distL="114300" distR="114300">
            <wp:extent cx="5266690" cy="2589530"/>
            <wp:effectExtent l="0" t="0" r="3810" b="1270"/>
            <wp:docPr id="2" name="图片 2" descr="16121614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12161466(1)"/>
                    <pic:cNvPicPr>
                      <a:picLocks noChangeAspect="1"/>
                    </pic:cNvPicPr>
                  </pic:nvPicPr>
                  <pic:blipFill>
                    <a:blip r:embed="rId6"/>
                    <a:stretch>
                      <a:fillRect/>
                    </a:stretch>
                  </pic:blipFill>
                  <pic:spPr>
                    <a:xfrm>
                      <a:off x="0" y="0"/>
                      <a:ext cx="5266690" cy="2589530"/>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snapToGrid/>
        <w:ind w:firstLine="687"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b/>
          <w:bCs/>
          <w:spacing w:val="11"/>
          <w:sz w:val="32"/>
          <w:szCs w:val="32"/>
        </w:rPr>
        <w:t>二是制度建设不断完善</w:t>
      </w:r>
      <w:r>
        <w:rPr>
          <w:rFonts w:hint="eastAsia" w:ascii="仿宋_GB2312" w:hAnsi="仿宋_GB2312" w:eastAsia="仿宋_GB2312" w:cs="仿宋_GB2312"/>
          <w:spacing w:val="11"/>
          <w:sz w:val="32"/>
          <w:szCs w:val="32"/>
        </w:rPr>
        <w:t>。制定出台</w:t>
      </w:r>
      <w:r>
        <w:rPr>
          <w:rFonts w:hint="eastAsia" w:ascii="仿宋_GB2312" w:hAnsi="仿宋_GB2312" w:eastAsia="仿宋_GB2312" w:cs="仿宋_GB2312"/>
          <w:spacing w:val="11"/>
          <w:sz w:val="32"/>
          <w:szCs w:val="32"/>
          <w:lang w:val="en-US" w:eastAsia="zh-CN"/>
        </w:rPr>
        <w:t>2020</w:t>
      </w:r>
      <w:r>
        <w:rPr>
          <w:rFonts w:hint="eastAsia" w:ascii="仿宋_GB2312" w:hAnsi="仿宋_GB2312" w:eastAsia="仿宋_GB2312" w:cs="仿宋_GB2312"/>
          <w:spacing w:val="11"/>
          <w:sz w:val="32"/>
          <w:szCs w:val="32"/>
        </w:rPr>
        <w:t>年政务公开工作要点等文件，明确了</w:t>
      </w:r>
      <w:r>
        <w:rPr>
          <w:rFonts w:hint="eastAsia" w:ascii="仿宋_GB2312" w:hAnsi="仿宋_GB2312" w:eastAsia="仿宋_GB2312" w:cs="仿宋_GB2312"/>
          <w:spacing w:val="11"/>
          <w:sz w:val="32"/>
          <w:szCs w:val="32"/>
          <w:lang w:val="en-US" w:eastAsia="zh-CN"/>
        </w:rPr>
        <w:t>22项</w:t>
      </w:r>
      <w:r>
        <w:rPr>
          <w:rFonts w:hint="eastAsia" w:ascii="仿宋_GB2312" w:hAnsi="仿宋_GB2312" w:eastAsia="仿宋_GB2312" w:cs="仿宋_GB2312"/>
          <w:spacing w:val="11"/>
          <w:sz w:val="32"/>
          <w:szCs w:val="32"/>
        </w:rPr>
        <w:t>重点工作、</w:t>
      </w:r>
      <w:r>
        <w:rPr>
          <w:rFonts w:hint="eastAsia" w:ascii="仿宋_GB2312" w:hAnsi="仿宋_GB2312" w:eastAsia="仿宋_GB2312" w:cs="仿宋_GB2312"/>
          <w:spacing w:val="11"/>
          <w:sz w:val="32"/>
          <w:szCs w:val="32"/>
          <w:lang w:eastAsia="zh-CN"/>
        </w:rPr>
        <w:t>逐项</w:t>
      </w:r>
      <w:r>
        <w:rPr>
          <w:rFonts w:hint="eastAsia" w:ascii="仿宋_GB2312" w:hAnsi="仿宋_GB2312" w:eastAsia="仿宋_GB2312" w:cs="仿宋_GB2312"/>
          <w:spacing w:val="11"/>
          <w:sz w:val="32"/>
          <w:szCs w:val="32"/>
        </w:rPr>
        <w:t>责任分工，为做好信息公开工作提供了强有力保障。</w:t>
      </w:r>
      <w:r>
        <w:rPr>
          <w:rFonts w:hint="eastAsia" w:ascii="仿宋_GB2312" w:hAnsi="仿宋_GB2312" w:eastAsia="仿宋_GB2312" w:cs="仿宋_GB2312"/>
          <w:b/>
          <w:bCs/>
          <w:spacing w:val="11"/>
          <w:sz w:val="32"/>
          <w:szCs w:val="32"/>
        </w:rPr>
        <w:t>三是根据职能调整</w:t>
      </w:r>
      <w:r>
        <w:rPr>
          <w:rFonts w:hint="eastAsia" w:ascii="仿宋_GB2312" w:hAnsi="仿宋_GB2312" w:eastAsia="仿宋_GB2312" w:cs="仿宋_GB2312"/>
          <w:spacing w:val="11"/>
          <w:sz w:val="32"/>
          <w:szCs w:val="32"/>
          <w:lang w:eastAsia="zh-CN"/>
        </w:rPr>
        <w:t>。动态</w:t>
      </w:r>
      <w:r>
        <w:rPr>
          <w:rFonts w:hint="eastAsia" w:ascii="仿宋_GB2312" w:hAnsi="仿宋_GB2312" w:eastAsia="仿宋_GB2312" w:cs="仿宋_GB2312"/>
          <w:spacing w:val="11"/>
          <w:sz w:val="32"/>
          <w:szCs w:val="32"/>
        </w:rPr>
        <w:t>更新了我局政府信息公开指南、主动公开基本目录，认真编写政府信息公开工作年报并及时在市政府及部门网站向社会发布。</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楷体_GB2312" w:hAnsi="楷体_GB2312" w:eastAsia="楷体_GB2312" w:cs="楷体_GB2312"/>
          <w:spacing w:val="11"/>
          <w:sz w:val="32"/>
          <w:szCs w:val="32"/>
        </w:rPr>
      </w:pPr>
      <w:r>
        <w:rPr>
          <w:rFonts w:hint="eastAsia" w:ascii="楷体_GB2312" w:hAnsi="楷体_GB2312" w:eastAsia="楷体_GB2312" w:cs="楷体_GB2312"/>
          <w:spacing w:val="11"/>
          <w:sz w:val="32"/>
          <w:szCs w:val="32"/>
        </w:rPr>
        <w:t>（二）发布解读、回应社会关切及互动交流情况</w:t>
      </w:r>
    </w:p>
    <w:p>
      <w:pPr>
        <w:keepNext w:val="0"/>
        <w:keepLines w:val="0"/>
        <w:pageBreakBefore w:val="0"/>
        <w:widowControl w:val="0"/>
        <w:kinsoku/>
        <w:wordWrap/>
        <w:overflowPunct/>
        <w:topLinePunct w:val="0"/>
        <w:autoSpaceDE w:val="0"/>
        <w:autoSpaceDN w:val="0"/>
        <w:bidi w:val="0"/>
        <w:adjustRightInd/>
        <w:snapToGrid/>
        <w:ind w:firstLine="687"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b/>
          <w:bCs/>
          <w:spacing w:val="11"/>
          <w:sz w:val="32"/>
          <w:szCs w:val="32"/>
        </w:rPr>
        <w:t>一是及时发布国务院、省政府、市政府出台的与我局职能相关的政策文件和解读信息</w:t>
      </w:r>
      <w:r>
        <w:rPr>
          <w:rFonts w:hint="eastAsia" w:ascii="仿宋_GB2312" w:hAnsi="仿宋_GB2312" w:eastAsia="仿宋_GB2312" w:cs="仿宋_GB2312"/>
          <w:spacing w:val="11"/>
          <w:sz w:val="32"/>
          <w:szCs w:val="32"/>
          <w:lang w:eastAsia="zh-CN"/>
        </w:rPr>
        <w:t>。</w:t>
      </w:r>
      <w:r>
        <w:rPr>
          <w:rFonts w:hint="eastAsia" w:ascii="仿宋_GB2312" w:hAnsi="仿宋_GB2312" w:eastAsia="仿宋_GB2312" w:cs="仿宋_GB2312"/>
          <w:spacing w:val="11"/>
          <w:sz w:val="32"/>
          <w:szCs w:val="32"/>
        </w:rPr>
        <w:t>对于我局出台的重要政策措施，均要求主办科室同步制作并发布解读信息，做到在文件公开后3个工作日内发布</w:t>
      </w:r>
      <w:r>
        <w:rPr>
          <w:rFonts w:hint="eastAsia" w:ascii="仿宋_GB2312" w:hAnsi="仿宋_GB2312" w:eastAsia="仿宋_GB2312" w:cs="仿宋_GB2312"/>
          <w:spacing w:val="11"/>
          <w:sz w:val="32"/>
          <w:szCs w:val="32"/>
          <w:lang w:eastAsia="zh-CN"/>
        </w:rPr>
        <w:t>，年内制发文稿解读、图片解读、动漫解读等解读信息</w:t>
      </w:r>
      <w:r>
        <w:rPr>
          <w:rFonts w:hint="eastAsia" w:ascii="仿宋_GB2312" w:hAnsi="仿宋_GB2312" w:eastAsia="仿宋_GB2312" w:cs="仿宋_GB2312"/>
          <w:spacing w:val="11"/>
          <w:sz w:val="32"/>
          <w:szCs w:val="32"/>
          <w:lang w:val="en-US" w:eastAsia="zh-CN"/>
        </w:rPr>
        <w:t>20余件</w:t>
      </w:r>
      <w:r>
        <w:rPr>
          <w:rFonts w:hint="eastAsia" w:ascii="仿宋_GB2312" w:hAnsi="仿宋_GB2312" w:eastAsia="仿宋_GB2312" w:cs="仿宋_GB2312"/>
          <w:spacing w:val="11"/>
          <w:sz w:val="32"/>
          <w:szCs w:val="32"/>
        </w:rPr>
        <w:t>。</w:t>
      </w:r>
      <w:r>
        <w:rPr>
          <w:rFonts w:hint="eastAsia" w:ascii="仿宋_GB2312" w:hAnsi="仿宋_GB2312" w:eastAsia="仿宋_GB2312" w:cs="仿宋_GB2312"/>
          <w:b/>
          <w:bCs/>
          <w:spacing w:val="11"/>
          <w:sz w:val="32"/>
          <w:szCs w:val="32"/>
        </w:rPr>
        <w:t>二是注重通过召开新闻发布会、媒体采访、发布新闻稿等形式解读重要政策措施、回应社会关切</w:t>
      </w:r>
      <w:r>
        <w:rPr>
          <w:rFonts w:hint="eastAsia" w:ascii="仿宋_GB2312" w:hAnsi="仿宋_GB2312" w:eastAsia="仿宋_GB2312" w:cs="仿宋_GB2312"/>
          <w:spacing w:val="11"/>
          <w:sz w:val="32"/>
          <w:szCs w:val="32"/>
        </w:rPr>
        <w:t>。</w:t>
      </w:r>
      <w:r>
        <w:rPr>
          <w:rFonts w:hint="eastAsia" w:ascii="仿宋_GB2312" w:hAnsi="仿宋_GB2312" w:eastAsia="仿宋_GB2312" w:cs="仿宋_GB2312"/>
          <w:spacing w:val="11"/>
          <w:sz w:val="32"/>
          <w:szCs w:val="32"/>
          <w:lang w:val="en-US" w:eastAsia="zh-CN"/>
        </w:rPr>
        <w:t>2020</w:t>
      </w:r>
      <w:r>
        <w:rPr>
          <w:rFonts w:hint="eastAsia" w:ascii="仿宋_GB2312" w:hAnsi="仿宋_GB2312" w:eastAsia="仿宋_GB2312" w:cs="仿宋_GB2312"/>
          <w:spacing w:val="11"/>
          <w:sz w:val="32"/>
          <w:szCs w:val="32"/>
        </w:rPr>
        <w:t>年，各级媒体累计刊发（播）新闻信息</w:t>
      </w:r>
      <w:r>
        <w:rPr>
          <w:rFonts w:hint="eastAsia" w:ascii="仿宋_GB2312" w:hAnsi="仿宋_GB2312" w:eastAsia="仿宋_GB2312" w:cs="仿宋_GB2312"/>
          <w:spacing w:val="11"/>
          <w:sz w:val="32"/>
          <w:szCs w:val="32"/>
          <w:lang w:val="en-US" w:eastAsia="zh-CN"/>
        </w:rPr>
        <w:t>200</w:t>
      </w:r>
      <w:r>
        <w:rPr>
          <w:rFonts w:hint="eastAsia" w:ascii="仿宋_GB2312" w:hAnsi="仿宋_GB2312" w:eastAsia="仿宋_GB2312" w:cs="仿宋_GB2312"/>
          <w:spacing w:val="11"/>
          <w:sz w:val="32"/>
          <w:szCs w:val="32"/>
        </w:rPr>
        <w:t>余篇（条），局主要负责人多次参</w:t>
      </w:r>
      <w:r>
        <w:rPr>
          <w:rFonts w:hint="eastAsia" w:ascii="仿宋_GB2312" w:hAnsi="仿宋_GB2312" w:eastAsia="仿宋_GB2312" w:cs="仿宋_GB2312"/>
          <w:spacing w:val="11"/>
          <w:sz w:val="32"/>
          <w:szCs w:val="32"/>
          <w:lang w:eastAsia="zh-CN"/>
        </w:rPr>
        <w:t>加淄博市召开制造业转型升级情况和《关于支持企业跨越发展的若干政策》新闻发布会</w:t>
      </w:r>
      <w:r>
        <w:rPr>
          <w:rFonts w:hint="eastAsia" w:ascii="仿宋_GB2312" w:hAnsi="仿宋_GB2312" w:eastAsia="仿宋_GB2312" w:cs="仿宋_GB2312"/>
          <w:spacing w:val="11"/>
          <w:sz w:val="32"/>
          <w:szCs w:val="32"/>
        </w:rPr>
        <w:t>，在《淄博日报》</w:t>
      </w:r>
      <w:r>
        <w:rPr>
          <w:rFonts w:hint="eastAsia" w:ascii="仿宋_GB2312" w:hAnsi="仿宋_GB2312" w:eastAsia="仿宋_GB2312" w:cs="仿宋_GB2312"/>
          <w:spacing w:val="11"/>
          <w:sz w:val="32"/>
          <w:szCs w:val="32"/>
          <w:lang w:eastAsia="zh-CN"/>
        </w:rPr>
        <w:t>、淄博电视台、淄博广播等媒体</w:t>
      </w:r>
      <w:r>
        <w:rPr>
          <w:rFonts w:hint="eastAsia" w:ascii="仿宋_GB2312" w:hAnsi="仿宋_GB2312" w:eastAsia="仿宋_GB2312" w:cs="仿宋_GB2312"/>
          <w:spacing w:val="11"/>
          <w:sz w:val="32"/>
          <w:szCs w:val="32"/>
        </w:rPr>
        <w:t>刊发署名文章解读</w:t>
      </w:r>
      <w:r>
        <w:rPr>
          <w:rFonts w:hint="eastAsia" w:ascii="仿宋_GB2312" w:hAnsi="仿宋_GB2312" w:eastAsia="仿宋_GB2312" w:cs="仿宋_GB2312"/>
          <w:spacing w:val="11"/>
          <w:sz w:val="32"/>
          <w:szCs w:val="32"/>
          <w:lang w:eastAsia="zh-CN"/>
        </w:rPr>
        <w:t>全国</w:t>
      </w:r>
      <w:r>
        <w:rPr>
          <w:rFonts w:hint="eastAsia" w:ascii="仿宋_GB2312" w:hAnsi="仿宋_GB2312" w:eastAsia="仿宋_GB2312" w:cs="仿宋_GB2312"/>
          <w:spacing w:val="11"/>
          <w:sz w:val="32"/>
          <w:szCs w:val="32"/>
        </w:rPr>
        <w:t>新型工业化强市有关政策及工业转型思路，营造了良好氛围，增进社会对工信工作的认同。</w:t>
      </w:r>
      <w:r>
        <w:rPr>
          <w:rFonts w:hint="eastAsia" w:ascii="仿宋_GB2312" w:hAnsi="仿宋_GB2312" w:eastAsia="仿宋_GB2312" w:cs="仿宋_GB2312"/>
          <w:b/>
          <w:bCs/>
          <w:spacing w:val="11"/>
          <w:sz w:val="32"/>
          <w:szCs w:val="32"/>
        </w:rPr>
        <w:t>三是多渠道加强与公众的互动交流</w:t>
      </w:r>
      <w:r>
        <w:rPr>
          <w:rFonts w:hint="eastAsia" w:ascii="仿宋_GB2312" w:hAnsi="仿宋_GB2312" w:eastAsia="仿宋_GB2312" w:cs="仿宋_GB2312"/>
          <w:spacing w:val="11"/>
          <w:sz w:val="32"/>
          <w:szCs w:val="32"/>
        </w:rPr>
        <w:t>。每天由专人负责梳理局门户网站公众咨询与投诉监督栏目上的信息办件，及时转交有关科室进行回复，实现受理率、答复率100</w:t>
      </w:r>
      <w:r>
        <w:rPr>
          <w:rFonts w:hint="eastAsia" w:ascii="仿宋_GB2312" w:hAnsi="仿宋_GB2312" w:eastAsia="仿宋_GB2312" w:cs="仿宋_GB2312"/>
          <w:spacing w:val="11"/>
          <w:sz w:val="32"/>
          <w:szCs w:val="32"/>
        </w:rPr>
        <w:drawing>
          <wp:inline distT="0" distB="0" distL="0" distR="0">
            <wp:extent cx="85090" cy="154940"/>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7" cstate="print"/>
                    <a:stretch>
                      <a:fillRect/>
                    </a:stretch>
                  </pic:blipFill>
                  <pic:spPr>
                    <a:xfrm>
                      <a:off x="0" y="0"/>
                      <a:ext cx="85724" cy="155574"/>
                    </a:xfrm>
                    <a:prstGeom prst="rect">
                      <a:avLst/>
                    </a:prstGeom>
                  </pic:spPr>
                </pic:pic>
              </a:graphicData>
            </a:graphic>
          </wp:inline>
        </w:drawing>
      </w:r>
      <w:r>
        <w:rPr>
          <w:rFonts w:hint="eastAsia" w:ascii="仿宋_GB2312" w:hAnsi="仿宋_GB2312" w:eastAsia="仿宋_GB2312" w:cs="仿宋_GB2312"/>
          <w:spacing w:val="11"/>
          <w:sz w:val="32"/>
          <w:szCs w:val="32"/>
        </w:rPr>
        <w:t>。</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楷体_GB2312" w:hAnsi="楷体_GB2312" w:eastAsia="楷体_GB2312" w:cs="楷体_GB2312"/>
          <w:spacing w:val="11"/>
          <w:sz w:val="32"/>
          <w:szCs w:val="32"/>
        </w:rPr>
      </w:pPr>
      <w:r>
        <w:rPr>
          <w:rFonts w:hint="eastAsia" w:ascii="楷体_GB2312" w:hAnsi="楷体_GB2312" w:eastAsia="楷体_GB2312" w:cs="楷体_GB2312"/>
          <w:spacing w:val="11"/>
          <w:sz w:val="32"/>
          <w:szCs w:val="32"/>
        </w:rPr>
        <w:t>（三）重点领域政府信息公开工作推进情况</w:t>
      </w:r>
    </w:p>
    <w:p>
      <w:pPr>
        <w:keepNext w:val="0"/>
        <w:keepLines w:val="0"/>
        <w:pageBreakBefore w:val="0"/>
        <w:widowControl w:val="0"/>
        <w:kinsoku/>
        <w:wordWrap/>
        <w:overflowPunct/>
        <w:topLinePunct w:val="0"/>
        <w:autoSpaceDE w:val="0"/>
        <w:autoSpaceDN w:val="0"/>
        <w:bidi w:val="0"/>
        <w:adjustRightInd/>
        <w:snapToGrid/>
        <w:ind w:firstLine="687"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b/>
          <w:bCs/>
          <w:spacing w:val="11"/>
          <w:sz w:val="32"/>
          <w:szCs w:val="32"/>
        </w:rPr>
        <w:t>一是加强行政权力运行信息公开</w:t>
      </w:r>
      <w:r>
        <w:rPr>
          <w:rFonts w:hint="eastAsia" w:ascii="仿宋_GB2312" w:hAnsi="仿宋_GB2312" w:eastAsia="仿宋_GB2312" w:cs="仿宋_GB2312"/>
          <w:spacing w:val="11"/>
          <w:sz w:val="32"/>
          <w:szCs w:val="32"/>
        </w:rPr>
        <w:t>。在网站公开权责清单</w:t>
      </w:r>
      <w:r>
        <w:rPr>
          <w:rFonts w:hint="eastAsia" w:ascii="仿宋_GB2312" w:hAnsi="仿宋_GB2312" w:eastAsia="仿宋_GB2312" w:cs="仿宋_GB2312"/>
          <w:spacing w:val="11"/>
          <w:sz w:val="32"/>
          <w:szCs w:val="32"/>
          <w:lang w:eastAsia="zh-CN"/>
        </w:rPr>
        <w:t>、职责任务清单、职责边界清单</w:t>
      </w:r>
      <w:r>
        <w:rPr>
          <w:rFonts w:hint="eastAsia" w:ascii="仿宋_GB2312" w:hAnsi="仿宋_GB2312" w:eastAsia="仿宋_GB2312" w:cs="仿宋_GB2312"/>
          <w:spacing w:val="11"/>
          <w:sz w:val="32"/>
          <w:szCs w:val="32"/>
        </w:rPr>
        <w:t>，推进行政权力公开透明运行。及时承接国家、省取消和下放的行政审批事项，做好“双随机、一公开”监管，确保简政放权、放管结合、优化服务同步推进。及时公布规范性文件清理结果。在局门户网站设立行政许可和行政处罚等信用信息“双公示”专栏，在作出行政许可和行政处罚决定7日内进行公示。20</w:t>
      </w:r>
      <w:r>
        <w:rPr>
          <w:rFonts w:hint="eastAsia" w:ascii="仿宋_GB2312" w:hAnsi="仿宋_GB2312" w:eastAsia="仿宋_GB2312" w:cs="仿宋_GB2312"/>
          <w:spacing w:val="11"/>
          <w:sz w:val="32"/>
          <w:szCs w:val="32"/>
          <w:lang w:val="en-US" w:eastAsia="zh-CN"/>
        </w:rPr>
        <w:t>20</w:t>
      </w:r>
      <w:r>
        <w:rPr>
          <w:rFonts w:hint="eastAsia" w:ascii="仿宋_GB2312" w:hAnsi="仿宋_GB2312" w:eastAsia="仿宋_GB2312" w:cs="仿宋_GB2312"/>
          <w:spacing w:val="11"/>
          <w:sz w:val="32"/>
          <w:szCs w:val="32"/>
        </w:rPr>
        <w:t>年，我局无行政许可、行政处罚案件。</w:t>
      </w:r>
      <w:r>
        <w:rPr>
          <w:rFonts w:hint="eastAsia" w:ascii="仿宋_GB2312" w:hAnsi="仿宋_GB2312" w:eastAsia="仿宋_GB2312" w:cs="仿宋_GB2312"/>
          <w:b/>
          <w:bCs/>
          <w:spacing w:val="11"/>
          <w:sz w:val="32"/>
          <w:szCs w:val="32"/>
        </w:rPr>
        <w:t>二是积极推进决策公开</w:t>
      </w:r>
      <w:r>
        <w:rPr>
          <w:rFonts w:hint="eastAsia" w:ascii="仿宋_GB2312" w:hAnsi="仿宋_GB2312" w:eastAsia="仿宋_GB2312" w:cs="仿宋_GB2312"/>
          <w:spacing w:val="11"/>
          <w:sz w:val="32"/>
          <w:szCs w:val="32"/>
        </w:rPr>
        <w:t>。企业评定、项目确定等事项在出台前严格按照有关规定，通过门户网站向社会公开征求意见，并及时反馈采纳</w:t>
      </w:r>
      <w:r>
        <w:rPr>
          <w:rFonts w:hint="eastAsia" w:ascii="仿宋_GB2312" w:hAnsi="仿宋_GB2312" w:eastAsia="仿宋_GB2312" w:cs="仿宋_GB2312"/>
          <w:spacing w:val="11"/>
          <w:sz w:val="32"/>
          <w:szCs w:val="32"/>
          <w:lang w:eastAsia="zh-CN"/>
        </w:rPr>
        <w:t>情况，全年开展调查征集事项</w:t>
      </w:r>
      <w:r>
        <w:rPr>
          <w:rFonts w:hint="eastAsia" w:ascii="仿宋_GB2312" w:hAnsi="仿宋_GB2312" w:eastAsia="仿宋_GB2312" w:cs="仿宋_GB2312"/>
          <w:spacing w:val="11"/>
          <w:sz w:val="32"/>
          <w:szCs w:val="32"/>
          <w:lang w:val="en-US" w:eastAsia="zh-CN"/>
        </w:rPr>
        <w:t>4件次</w:t>
      </w:r>
      <w:r>
        <w:rPr>
          <w:rFonts w:hint="eastAsia" w:ascii="仿宋_GB2312" w:hAnsi="仿宋_GB2312" w:eastAsia="仿宋_GB2312" w:cs="仿宋_GB2312"/>
          <w:spacing w:val="11"/>
          <w:sz w:val="32"/>
          <w:szCs w:val="32"/>
        </w:rPr>
        <w:t>。充分发挥法律顾问作用，为领导决策提供法律审核、法制监督等服务。</w:t>
      </w:r>
      <w:r>
        <w:rPr>
          <w:rFonts w:hint="eastAsia" w:ascii="仿宋_GB2312" w:hAnsi="仿宋_GB2312" w:eastAsia="仿宋_GB2312" w:cs="仿宋_GB2312"/>
          <w:b/>
          <w:bCs/>
          <w:spacing w:val="11"/>
          <w:sz w:val="32"/>
          <w:szCs w:val="32"/>
        </w:rPr>
        <w:t>三是积极推进政策执行和落实情况公开</w:t>
      </w:r>
      <w:r>
        <w:rPr>
          <w:rFonts w:hint="eastAsia" w:ascii="仿宋_GB2312" w:hAnsi="仿宋_GB2312" w:eastAsia="仿宋_GB2312" w:cs="仿宋_GB2312"/>
          <w:spacing w:val="11"/>
          <w:sz w:val="32"/>
          <w:szCs w:val="32"/>
        </w:rPr>
        <w:t>。对市委、市政府重要会议提出的重要事项或重大政策涉及我局的有关工作任务及时分解任务、细化责任、定期督查，及时发布进展和完成情况，促进重大政策措施有效落实。</w:t>
      </w:r>
      <w:r>
        <w:rPr>
          <w:rFonts w:hint="eastAsia" w:ascii="仿宋_GB2312" w:hAnsi="仿宋_GB2312" w:eastAsia="仿宋_GB2312" w:cs="仿宋_GB2312"/>
          <w:b/>
          <w:bCs/>
          <w:spacing w:val="11"/>
          <w:sz w:val="32"/>
          <w:szCs w:val="32"/>
        </w:rPr>
        <w:t>四是推动预决算公开</w:t>
      </w:r>
      <w:r>
        <w:rPr>
          <w:rFonts w:hint="eastAsia" w:ascii="仿宋_GB2312" w:hAnsi="仿宋_GB2312" w:eastAsia="仿宋_GB2312" w:cs="仿宋_GB2312"/>
          <w:spacing w:val="11"/>
          <w:sz w:val="32"/>
          <w:szCs w:val="32"/>
        </w:rPr>
        <w:t>。在部门网站设立财政预决算公开专栏，及时公开经批准的</w:t>
      </w:r>
      <w:r>
        <w:rPr>
          <w:rFonts w:hint="eastAsia" w:ascii="仿宋_GB2312" w:hAnsi="仿宋_GB2312" w:eastAsia="仿宋_GB2312" w:cs="仿宋_GB2312"/>
          <w:spacing w:val="11"/>
          <w:sz w:val="32"/>
          <w:szCs w:val="32"/>
          <w:lang w:val="en-US" w:eastAsia="zh-CN"/>
        </w:rPr>
        <w:t>2020</w:t>
      </w:r>
      <w:r>
        <w:rPr>
          <w:rFonts w:hint="eastAsia" w:ascii="仿宋_GB2312" w:hAnsi="仿宋_GB2312" w:eastAsia="仿宋_GB2312" w:cs="仿宋_GB2312"/>
          <w:spacing w:val="11"/>
          <w:sz w:val="32"/>
          <w:szCs w:val="32"/>
        </w:rPr>
        <w:t>年预算、决算信息（含“三公”经费），接受社会监督。</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rPr>
      </w:pPr>
      <w:r>
        <w:rPr>
          <w:rFonts w:hint="eastAsia" w:ascii="楷体_GB2312" w:hAnsi="楷体_GB2312" w:eastAsia="楷体_GB2312" w:cs="楷体_GB2312"/>
          <w:spacing w:val="11"/>
          <w:sz w:val="32"/>
          <w:szCs w:val="32"/>
        </w:rPr>
        <w:t>（四）主动公开政府信息以及公开平台建设情况</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lang w:val="en-US" w:eastAsia="zh-CN"/>
        </w:rPr>
      </w:pPr>
      <w:r>
        <w:rPr>
          <w:rFonts w:hint="eastAsia" w:ascii="仿宋_GB2312" w:hAnsi="仿宋_GB2312" w:eastAsia="仿宋_GB2312" w:cs="仿宋_GB2312"/>
          <w:spacing w:val="11"/>
          <w:sz w:val="32"/>
          <w:szCs w:val="32"/>
        </w:rPr>
        <w:t>充分发挥局门户网站作用，由专人负责网站日常维护管理，根据职能变化，及时优化调整栏目设置，加强内容保障，确保网站首页及各栏目及时更新。全年通过门户网站公开信息</w:t>
      </w:r>
      <w:r>
        <w:rPr>
          <w:rFonts w:hint="eastAsia" w:ascii="仿宋_GB2312" w:hAnsi="仿宋_GB2312" w:eastAsia="仿宋_GB2312" w:cs="仿宋_GB2312"/>
          <w:spacing w:val="11"/>
          <w:sz w:val="32"/>
          <w:szCs w:val="32"/>
          <w:lang w:val="en-US" w:eastAsia="zh-CN"/>
        </w:rPr>
        <w:t>288</w:t>
      </w:r>
      <w:r>
        <w:rPr>
          <w:rFonts w:hint="eastAsia" w:ascii="仿宋_GB2312" w:hAnsi="仿宋_GB2312" w:eastAsia="仿宋_GB2312" w:cs="仿宋_GB2312"/>
          <w:spacing w:val="11"/>
          <w:sz w:val="32"/>
          <w:szCs w:val="32"/>
        </w:rPr>
        <w:t>条，</w:t>
      </w:r>
      <w:r>
        <w:rPr>
          <w:rFonts w:hint="eastAsia" w:ascii="仿宋_GB2312" w:hAnsi="仿宋_GB2312" w:eastAsia="仿宋_GB2312" w:cs="仿宋_GB2312"/>
          <w:spacing w:val="11"/>
          <w:sz w:val="32"/>
          <w:szCs w:val="32"/>
          <w:lang w:eastAsia="zh-CN"/>
        </w:rPr>
        <w:t>年点击量超过</w:t>
      </w:r>
      <w:r>
        <w:rPr>
          <w:rFonts w:hint="eastAsia" w:ascii="仿宋_GB2312" w:hAnsi="仿宋_GB2312" w:eastAsia="仿宋_GB2312" w:cs="仿宋_GB2312"/>
          <w:spacing w:val="11"/>
          <w:sz w:val="32"/>
          <w:szCs w:val="32"/>
          <w:lang w:val="en-US" w:eastAsia="zh-CN"/>
        </w:rPr>
        <w:t>18万次，</w:t>
      </w:r>
      <w:r>
        <w:rPr>
          <w:rFonts w:hint="eastAsia" w:ascii="仿宋_GB2312" w:hAnsi="仿宋_GB2312" w:eastAsia="仿宋_GB2312" w:cs="仿宋_GB2312"/>
          <w:spacing w:val="11"/>
          <w:sz w:val="32"/>
          <w:szCs w:val="32"/>
        </w:rPr>
        <w:t>通过报纸、电视、广播等发布新闻信息</w:t>
      </w:r>
      <w:r>
        <w:rPr>
          <w:rFonts w:hint="eastAsia" w:ascii="仿宋_GB2312" w:hAnsi="仿宋_GB2312" w:eastAsia="仿宋_GB2312" w:cs="仿宋_GB2312"/>
          <w:spacing w:val="11"/>
          <w:sz w:val="32"/>
          <w:szCs w:val="32"/>
          <w:lang w:val="en-US" w:eastAsia="zh-CN"/>
        </w:rPr>
        <w:t>200</w:t>
      </w:r>
      <w:r>
        <w:rPr>
          <w:rFonts w:hint="eastAsia" w:ascii="仿宋_GB2312" w:hAnsi="仿宋_GB2312" w:eastAsia="仿宋_GB2312" w:cs="仿宋_GB2312"/>
          <w:spacing w:val="11"/>
          <w:sz w:val="32"/>
          <w:szCs w:val="32"/>
        </w:rPr>
        <w:t>余篇（条）</w:t>
      </w:r>
      <w:r>
        <w:rPr>
          <w:rFonts w:hint="eastAsia" w:ascii="仿宋_GB2312" w:hAnsi="仿宋_GB2312" w:eastAsia="仿宋_GB2312" w:cs="仿宋_GB2312"/>
          <w:spacing w:val="11"/>
          <w:sz w:val="32"/>
          <w:szCs w:val="32"/>
          <w:lang w:eastAsia="zh-CN"/>
        </w:rPr>
        <w:t>，开设淄博工信微博、微信等新媒体账号，全年发布信息</w:t>
      </w:r>
      <w:r>
        <w:rPr>
          <w:rFonts w:hint="eastAsia" w:ascii="仿宋_GB2312" w:hAnsi="仿宋_GB2312" w:eastAsia="仿宋_GB2312" w:cs="仿宋_GB2312"/>
          <w:spacing w:val="11"/>
          <w:sz w:val="32"/>
          <w:szCs w:val="32"/>
          <w:lang w:val="en-US" w:eastAsia="zh-CN"/>
        </w:rPr>
        <w:t>220余条。</w:t>
      </w:r>
    </w:p>
    <w:p>
      <w:pPr>
        <w:keepNext w:val="0"/>
        <w:keepLines w:val="0"/>
        <w:pageBreakBefore w:val="0"/>
        <w:widowControl w:val="0"/>
        <w:kinsoku/>
        <w:wordWrap/>
        <w:overflowPunct/>
        <w:topLinePunct w:val="0"/>
        <w:autoSpaceDE w:val="0"/>
        <w:autoSpaceDN w:val="0"/>
        <w:bidi w:val="0"/>
        <w:adjustRightInd/>
        <w:snapToGrid/>
        <w:ind w:firstLine="440" w:firstLineChars="200"/>
        <w:jc w:val="both"/>
        <w:textAlignment w:val="auto"/>
        <w:rPr>
          <w:rFonts w:hint="default" w:ascii="仿宋_GB2312" w:hAnsi="仿宋_GB2312" w:eastAsia="仿宋_GB2312" w:cs="仿宋_GB2312"/>
          <w:spacing w:val="11"/>
          <w:sz w:val="32"/>
          <w:szCs w:val="32"/>
          <w:lang w:val="en-US" w:eastAsia="zh-CN"/>
        </w:rPr>
      </w:pPr>
      <w:r>
        <w:drawing>
          <wp:inline distT="0" distB="0" distL="114300" distR="114300">
            <wp:extent cx="4489450" cy="2679700"/>
            <wp:effectExtent l="0" t="0" r="635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8"/>
                    <a:stretch>
                      <a:fillRect/>
                    </a:stretch>
                  </pic:blipFill>
                  <pic:spPr>
                    <a:xfrm>
                      <a:off x="0" y="0"/>
                      <a:ext cx="4489450" cy="267970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val="0"/>
        <w:autoSpaceDN w:val="0"/>
        <w:bidi w:val="0"/>
        <w:adjustRightInd/>
        <w:snapToGrid/>
        <w:ind w:right="0" w:rightChars="0" w:firstLine="684" w:firstLineChars="200"/>
        <w:jc w:val="both"/>
        <w:textAlignment w:val="auto"/>
        <w:rPr>
          <w:rFonts w:hint="eastAsia" w:ascii="仿宋_GB2312" w:hAnsi="仿宋_GB2312" w:eastAsia="仿宋_GB2312" w:cs="仿宋_GB2312"/>
          <w:spacing w:val="11"/>
          <w:sz w:val="32"/>
          <w:szCs w:val="32"/>
          <w:lang w:eastAsia="zh-CN"/>
        </w:rPr>
      </w:pPr>
      <w:r>
        <w:rPr>
          <w:rFonts w:hint="eastAsia" w:ascii="楷体_GB2312" w:hAnsi="楷体_GB2312" w:eastAsia="楷体_GB2312" w:cs="楷体_GB2312"/>
          <w:spacing w:val="11"/>
          <w:sz w:val="32"/>
          <w:szCs w:val="32"/>
          <w:lang w:eastAsia="zh-CN"/>
        </w:rPr>
        <w:t>（五）</w:t>
      </w:r>
      <w:r>
        <w:rPr>
          <w:rFonts w:hint="eastAsia" w:ascii="楷体_GB2312" w:hAnsi="楷体_GB2312" w:eastAsia="楷体_GB2312" w:cs="楷体_GB2312"/>
          <w:spacing w:val="11"/>
          <w:sz w:val="32"/>
          <w:szCs w:val="32"/>
        </w:rPr>
        <w:t>人大代表建议、政协委员提案办理总体情况</w:t>
      </w:r>
      <w:r>
        <w:rPr>
          <w:rFonts w:hint="eastAsia" w:ascii="仿宋_GB2312" w:hAnsi="仿宋_GB2312" w:eastAsia="仿宋_GB2312" w:cs="仿宋_GB2312"/>
          <w:spacing w:val="11"/>
          <w:sz w:val="32"/>
          <w:szCs w:val="32"/>
          <w:lang w:eastAsia="zh-CN"/>
        </w:rPr>
        <w:t>。</w:t>
      </w:r>
      <w:r>
        <w:rPr>
          <w:rFonts w:hint="eastAsia" w:ascii="仿宋_GB2312" w:hAnsi="仿宋_GB2312" w:eastAsia="仿宋_GB2312" w:cs="仿宋_GB2312"/>
          <w:spacing w:val="11"/>
          <w:sz w:val="32"/>
          <w:szCs w:val="32"/>
        </w:rPr>
        <w:t>我局始终高度重视人大建议办理工作，</w:t>
      </w:r>
      <w:r>
        <w:rPr>
          <w:rFonts w:hint="eastAsia" w:ascii="仿宋_GB2312" w:hAnsi="仿宋_GB2312" w:eastAsia="仿宋_GB2312" w:cs="仿宋_GB2312"/>
          <w:spacing w:val="11"/>
          <w:sz w:val="32"/>
          <w:szCs w:val="32"/>
          <w:lang w:val="en-US" w:eastAsia="zh-CN"/>
        </w:rPr>
        <w:t>2020</w:t>
      </w:r>
      <w:r>
        <w:rPr>
          <w:rFonts w:hint="eastAsia" w:ascii="仿宋_GB2312" w:hAnsi="仿宋_GB2312" w:eastAsia="仿宋_GB2312" w:cs="仿宋_GB2312"/>
          <w:spacing w:val="11"/>
          <w:sz w:val="32"/>
          <w:szCs w:val="32"/>
        </w:rPr>
        <w:t>年共承接、办理人大代表建议</w:t>
      </w:r>
      <w:r>
        <w:rPr>
          <w:rFonts w:hint="eastAsia" w:ascii="仿宋_GB2312" w:hAnsi="仿宋_GB2312" w:eastAsia="仿宋_GB2312" w:cs="仿宋_GB2312"/>
          <w:spacing w:val="11"/>
          <w:sz w:val="32"/>
          <w:szCs w:val="32"/>
          <w:lang w:val="en-US" w:eastAsia="zh-CN"/>
        </w:rPr>
        <w:t>18</w:t>
      </w:r>
      <w:r>
        <w:rPr>
          <w:rFonts w:hint="eastAsia" w:ascii="仿宋_GB2312" w:hAnsi="仿宋_GB2312" w:eastAsia="仿宋_GB2312" w:cs="仿宋_GB2312"/>
          <w:spacing w:val="11"/>
          <w:sz w:val="32"/>
          <w:szCs w:val="32"/>
        </w:rPr>
        <w:t>件、政协委员提案</w:t>
      </w:r>
      <w:r>
        <w:rPr>
          <w:rFonts w:hint="eastAsia" w:ascii="仿宋_GB2312" w:hAnsi="仿宋_GB2312" w:eastAsia="仿宋_GB2312" w:cs="仿宋_GB2312"/>
          <w:spacing w:val="11"/>
          <w:sz w:val="32"/>
          <w:szCs w:val="32"/>
          <w:lang w:val="en-US" w:eastAsia="zh-CN"/>
        </w:rPr>
        <w:t>34</w:t>
      </w:r>
      <w:r>
        <w:rPr>
          <w:rFonts w:hint="eastAsia" w:ascii="仿宋_GB2312" w:hAnsi="仿宋_GB2312" w:eastAsia="仿宋_GB2312" w:cs="仿宋_GB2312"/>
          <w:spacing w:val="11"/>
          <w:sz w:val="32"/>
          <w:szCs w:val="32"/>
        </w:rPr>
        <w:t>件，目前，</w:t>
      </w:r>
      <w:r>
        <w:rPr>
          <w:rFonts w:hint="eastAsia" w:ascii="仿宋_GB2312" w:hAnsi="仿宋_GB2312" w:eastAsia="仿宋_GB2312" w:cs="仿宋_GB2312"/>
          <w:spacing w:val="11"/>
          <w:sz w:val="32"/>
          <w:szCs w:val="32"/>
          <w:lang w:val="en-US" w:eastAsia="zh-CN"/>
        </w:rPr>
        <w:t>52</w:t>
      </w:r>
      <w:r>
        <w:rPr>
          <w:rFonts w:hint="eastAsia" w:ascii="仿宋_GB2312" w:hAnsi="仿宋_GB2312" w:eastAsia="仿宋_GB2312" w:cs="仿宋_GB2312"/>
          <w:spacing w:val="11"/>
          <w:sz w:val="32"/>
          <w:szCs w:val="32"/>
        </w:rPr>
        <w:t>件建议和提案已全部办理完毕，并按要求向委员们逐一作出了书面答复，实现答复率、满意率100</w:t>
      </w:r>
      <w:r>
        <w:rPr>
          <w:rFonts w:hint="eastAsia" w:ascii="仿宋_GB2312" w:hAnsi="仿宋_GB2312" w:eastAsia="仿宋_GB2312" w:cs="仿宋_GB2312"/>
          <w:spacing w:val="11"/>
          <w:sz w:val="32"/>
          <w:szCs w:val="32"/>
        </w:rPr>
        <w:drawing>
          <wp:inline distT="0" distB="0" distL="0" distR="0">
            <wp:extent cx="85090" cy="154940"/>
            <wp:effectExtent l="0" t="0" r="0" b="0"/>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6.png"/>
                    <pic:cNvPicPr>
                      <a:picLocks noChangeAspect="1"/>
                    </pic:cNvPicPr>
                  </pic:nvPicPr>
                  <pic:blipFill>
                    <a:blip r:embed="rId7" cstate="print"/>
                    <a:stretch>
                      <a:fillRect/>
                    </a:stretch>
                  </pic:blipFill>
                  <pic:spPr>
                    <a:xfrm>
                      <a:off x="0" y="0"/>
                      <a:ext cx="85724" cy="155574"/>
                    </a:xfrm>
                    <a:prstGeom prst="rect">
                      <a:avLst/>
                    </a:prstGeom>
                  </pic:spPr>
                </pic:pic>
              </a:graphicData>
            </a:graphic>
          </wp:inline>
        </w:drawing>
      </w:r>
      <w:r>
        <w:rPr>
          <w:rFonts w:hint="eastAsia" w:ascii="仿宋_GB2312" w:hAnsi="仿宋_GB2312" w:eastAsia="仿宋_GB2312" w:cs="仿宋_GB2312"/>
          <w:spacing w:val="11"/>
          <w:sz w:val="32"/>
          <w:szCs w:val="32"/>
        </w:rPr>
        <w:t>。办理情况全部在网站专栏公开。</w:t>
      </w:r>
      <w:r>
        <w:rPr>
          <w:rFonts w:hint="eastAsia" w:ascii="仿宋_GB2312" w:hAnsi="仿宋_GB2312" w:eastAsia="仿宋_GB2312" w:cs="仿宋_GB2312"/>
          <w:spacing w:val="11"/>
          <w:sz w:val="32"/>
          <w:szCs w:val="32"/>
          <w:lang w:eastAsia="zh-CN"/>
        </w:rPr>
        <w:drawing>
          <wp:inline distT="0" distB="0" distL="114300" distR="114300">
            <wp:extent cx="2333625" cy="1750695"/>
            <wp:effectExtent l="0" t="0" r="3175" b="1905"/>
            <wp:docPr id="5" name="图片 5" descr="265ab07cc22a9532fdee72645e17a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65ab07cc22a9532fdee72645e17a87"/>
                    <pic:cNvPicPr>
                      <a:picLocks noChangeAspect="1"/>
                    </pic:cNvPicPr>
                  </pic:nvPicPr>
                  <pic:blipFill>
                    <a:blip r:embed="rId9"/>
                    <a:stretch>
                      <a:fillRect/>
                    </a:stretch>
                  </pic:blipFill>
                  <pic:spPr>
                    <a:xfrm>
                      <a:off x="0" y="0"/>
                      <a:ext cx="2333625" cy="1750695"/>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楷体_GB2312" w:hAnsi="楷体_GB2312" w:eastAsia="楷体_GB2312" w:cs="楷体_GB2312"/>
          <w:spacing w:val="11"/>
          <w:sz w:val="32"/>
          <w:szCs w:val="32"/>
        </w:rPr>
      </w:pPr>
      <w:r>
        <w:rPr>
          <w:rFonts w:hint="eastAsia" w:ascii="楷体_GB2312" w:hAnsi="楷体_GB2312" w:eastAsia="楷体_GB2312" w:cs="楷体_GB2312"/>
          <w:spacing w:val="11"/>
          <w:sz w:val="32"/>
          <w:szCs w:val="32"/>
        </w:rPr>
        <w:t>（六）政府信息公开申请的办理情况</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lang w:val="en-US" w:eastAsia="zh-CN"/>
        </w:rPr>
        <w:t>2020</w:t>
      </w:r>
      <w:r>
        <w:rPr>
          <w:rFonts w:hint="eastAsia" w:ascii="仿宋_GB2312" w:hAnsi="仿宋_GB2312" w:eastAsia="仿宋_GB2312" w:cs="仿宋_GB2312"/>
          <w:spacing w:val="11"/>
          <w:sz w:val="32"/>
          <w:szCs w:val="32"/>
        </w:rPr>
        <w:t>年度，市工信局收到政府信息公开申请2件，按程序依法向申请人提供了《政府信息公开告知书》。</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楷体_GB2312" w:hAnsi="楷体_GB2312" w:eastAsia="楷体_GB2312" w:cs="楷体_GB2312"/>
          <w:spacing w:val="11"/>
          <w:sz w:val="32"/>
          <w:szCs w:val="32"/>
        </w:rPr>
      </w:pPr>
      <w:r>
        <w:rPr>
          <w:rFonts w:hint="eastAsia" w:ascii="楷体_GB2312" w:hAnsi="楷体_GB2312" w:eastAsia="楷体_GB2312" w:cs="楷体_GB2312"/>
          <w:spacing w:val="11"/>
          <w:sz w:val="32"/>
          <w:szCs w:val="32"/>
        </w:rPr>
        <w:t>（七）政府信息公开的收费及减免情况</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lang w:val="en-US" w:eastAsia="zh-CN"/>
        </w:rPr>
        <w:t>2020</w:t>
      </w:r>
      <w:r>
        <w:rPr>
          <w:rFonts w:hint="eastAsia" w:ascii="仿宋_GB2312" w:hAnsi="仿宋_GB2312" w:eastAsia="仿宋_GB2312" w:cs="仿宋_GB2312"/>
          <w:spacing w:val="11"/>
          <w:sz w:val="32"/>
          <w:szCs w:val="32"/>
        </w:rPr>
        <w:t>年度，市工信局未发生政府信息公开工作收费及减免情况。</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rPr>
      </w:pPr>
      <w:r>
        <w:rPr>
          <w:rFonts w:hint="eastAsia" w:ascii="楷体_GB2312" w:hAnsi="楷体_GB2312" w:eastAsia="楷体_GB2312" w:cs="楷体_GB2312"/>
          <w:spacing w:val="11"/>
          <w:sz w:val="32"/>
          <w:szCs w:val="32"/>
        </w:rPr>
        <w:t>（八）因政府信息公开申请提起行政复议、诉讼情况</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lang w:val="en-US" w:eastAsia="zh-CN"/>
        </w:rPr>
        <w:t>2020</w:t>
      </w:r>
      <w:r>
        <w:rPr>
          <w:rFonts w:hint="eastAsia" w:ascii="仿宋_GB2312" w:hAnsi="仿宋_GB2312" w:eastAsia="仿宋_GB2312" w:cs="仿宋_GB2312"/>
          <w:spacing w:val="11"/>
          <w:sz w:val="32"/>
          <w:szCs w:val="32"/>
        </w:rPr>
        <w:t>年度，市工信局未发生有关政府信息公开申请的行政复议案件、行政诉讼案件及相关申诉案件。</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楷体_GB2312" w:hAnsi="楷体_GB2312" w:eastAsia="楷体_GB2312" w:cs="楷体_GB2312"/>
          <w:spacing w:val="11"/>
          <w:sz w:val="32"/>
          <w:szCs w:val="32"/>
        </w:rPr>
      </w:pPr>
      <w:r>
        <w:rPr>
          <w:rFonts w:hint="eastAsia" w:ascii="楷体_GB2312" w:hAnsi="楷体_GB2312" w:eastAsia="楷体_GB2312" w:cs="楷体_GB2312"/>
          <w:spacing w:val="11"/>
          <w:sz w:val="32"/>
          <w:szCs w:val="32"/>
        </w:rPr>
        <w:t>（九）政府信息公开保密审查及监督检查情况</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lang w:val="en-US" w:eastAsia="zh-CN"/>
        </w:rPr>
      </w:pPr>
      <w:r>
        <w:rPr>
          <w:rFonts w:hint="eastAsia" w:ascii="仿宋_GB2312" w:hAnsi="仿宋_GB2312" w:eastAsia="仿宋_GB2312" w:cs="仿宋_GB2312"/>
          <w:spacing w:val="11"/>
          <w:sz w:val="32"/>
          <w:szCs w:val="32"/>
          <w:lang w:val="en-US" w:eastAsia="zh-CN"/>
        </w:rPr>
        <w:t>2020</w:t>
      </w:r>
      <w:r>
        <w:rPr>
          <w:rFonts w:hint="eastAsia" w:ascii="仿宋_GB2312" w:hAnsi="仿宋_GB2312" w:eastAsia="仿宋_GB2312" w:cs="仿宋_GB2312"/>
          <w:spacing w:val="11"/>
          <w:sz w:val="32"/>
          <w:szCs w:val="32"/>
        </w:rPr>
        <w:t>年度，市工信局严格进行信息公开保密审查及监督检查，未发生失泄密情况</w:t>
      </w:r>
      <w:r>
        <w:rPr>
          <w:rFonts w:hint="eastAsia" w:ascii="仿宋_GB2312" w:hAnsi="仿宋_GB2312" w:eastAsia="仿宋_GB2312" w:cs="仿宋_GB2312"/>
          <w:spacing w:val="11"/>
          <w:sz w:val="32"/>
          <w:szCs w:val="32"/>
          <w:lang w:eastAsia="zh-CN"/>
        </w:rPr>
        <w:t>。</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楷体_GB2312" w:hAnsi="楷体_GB2312" w:eastAsia="楷体_GB2312" w:cs="楷体_GB2312"/>
          <w:spacing w:val="11"/>
          <w:sz w:val="32"/>
          <w:szCs w:val="32"/>
        </w:rPr>
      </w:pPr>
      <w:r>
        <w:rPr>
          <w:rFonts w:hint="eastAsia" w:ascii="楷体_GB2312" w:hAnsi="楷体_GB2312" w:eastAsia="楷体_GB2312" w:cs="楷体_GB2312"/>
          <w:spacing w:val="11"/>
          <w:sz w:val="32"/>
          <w:szCs w:val="32"/>
        </w:rPr>
        <w:t>（十）工作考核、社会评议和责任追究结果等监督保障情况</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lang w:val="en-US" w:eastAsia="zh-CN"/>
        </w:rPr>
        <w:t>2020</w:t>
      </w:r>
      <w:r>
        <w:rPr>
          <w:rFonts w:hint="eastAsia" w:ascii="仿宋_GB2312" w:hAnsi="仿宋_GB2312" w:eastAsia="仿宋_GB2312" w:cs="仿宋_GB2312"/>
          <w:spacing w:val="11"/>
          <w:sz w:val="32"/>
          <w:szCs w:val="32"/>
        </w:rPr>
        <w:t>年，市工信局未受到市委、市政府、市纪委监委等部门责任追究。</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黑体" w:hAnsi="黑体" w:eastAsia="黑体" w:cs="黑体"/>
          <w:spacing w:val="11"/>
          <w:sz w:val="32"/>
          <w:szCs w:val="32"/>
        </w:rPr>
      </w:pPr>
      <w:r>
        <w:rPr>
          <w:rFonts w:hint="eastAsia" w:ascii="黑体" w:hAnsi="黑体" w:eastAsia="黑体" w:cs="黑体"/>
          <w:spacing w:val="11"/>
          <w:sz w:val="32"/>
          <w:szCs w:val="32"/>
        </w:rPr>
        <w:t>二、主动公开政府信息情况</w:t>
      </w:r>
    </w:p>
    <w:tbl>
      <w:tblPr>
        <w:tblStyle w:val="4"/>
        <w:tblpPr w:leftFromText="180" w:rightFromText="180" w:vertAnchor="text" w:horzAnchor="page" w:tblpX="2054" w:tblpY="637"/>
        <w:tblOverlap w:val="never"/>
        <w:tblW w:w="893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94"/>
        <w:gridCol w:w="1985"/>
        <w:gridCol w:w="2030"/>
        <w:gridCol w:w="22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8931" w:type="dxa"/>
            <w:gridSpan w:val="4"/>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黑体" w:hAnsi="黑体" w:eastAsia="黑体" w:cs="黑体"/>
                <w:spacing w:val="11"/>
                <w:sz w:val="21"/>
                <w:szCs w:val="21"/>
              </w:rPr>
              <w:t>第二十条第（一）项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269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信息内容</w:t>
            </w:r>
          </w:p>
        </w:tc>
        <w:tc>
          <w:tcPr>
            <w:tcW w:w="1985"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本年新制作数量</w:t>
            </w:r>
          </w:p>
        </w:tc>
        <w:tc>
          <w:tcPr>
            <w:tcW w:w="203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本年新</w:t>
            </w:r>
          </w:p>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公开数量</w:t>
            </w:r>
          </w:p>
        </w:tc>
        <w:tc>
          <w:tcPr>
            <w:tcW w:w="222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对外公开</w:t>
            </w:r>
          </w:p>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总数量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trPr>
        <w:tc>
          <w:tcPr>
            <w:tcW w:w="269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规章</w:t>
            </w:r>
          </w:p>
        </w:tc>
        <w:tc>
          <w:tcPr>
            <w:tcW w:w="1985"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203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222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269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规范性文件</w:t>
            </w:r>
          </w:p>
        </w:tc>
        <w:tc>
          <w:tcPr>
            <w:tcW w:w="1985"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lang w:eastAsia="zh-CN"/>
              </w:rPr>
            </w:pPr>
            <w:r>
              <w:rPr>
                <w:rFonts w:hint="eastAsia" w:ascii="仿宋_GB2312" w:hAnsi="仿宋_GB2312" w:eastAsia="仿宋_GB2312" w:cs="仿宋_GB2312"/>
                <w:spacing w:val="11"/>
                <w:sz w:val="21"/>
                <w:szCs w:val="21"/>
                <w:lang w:val="en-US" w:eastAsia="zh-CN"/>
              </w:rPr>
              <w:t>4</w:t>
            </w:r>
          </w:p>
        </w:tc>
        <w:tc>
          <w:tcPr>
            <w:tcW w:w="203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lang w:val="en-US" w:eastAsia="zh-CN"/>
              </w:rPr>
            </w:pPr>
            <w:r>
              <w:rPr>
                <w:rFonts w:hint="eastAsia" w:ascii="仿宋_GB2312" w:hAnsi="仿宋_GB2312" w:eastAsia="仿宋_GB2312" w:cs="仿宋_GB2312"/>
                <w:spacing w:val="11"/>
                <w:sz w:val="21"/>
                <w:szCs w:val="21"/>
                <w:lang w:val="en-US" w:eastAsia="zh-CN"/>
              </w:rPr>
              <w:t>4</w:t>
            </w:r>
          </w:p>
        </w:tc>
        <w:tc>
          <w:tcPr>
            <w:tcW w:w="222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lang w:eastAsia="zh-CN"/>
              </w:rPr>
            </w:pPr>
            <w:r>
              <w:rPr>
                <w:rFonts w:hint="eastAsia" w:ascii="仿宋_GB2312" w:hAnsi="仿宋_GB2312" w:eastAsia="仿宋_GB2312" w:cs="仿宋_GB2312"/>
                <w:spacing w:val="11"/>
                <w:sz w:val="21"/>
                <w:szCs w:val="21"/>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8931" w:type="dxa"/>
            <w:gridSpan w:val="4"/>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黑体" w:hAnsi="黑体" w:eastAsia="黑体" w:cs="黑体"/>
                <w:spacing w:val="11"/>
                <w:sz w:val="21"/>
                <w:szCs w:val="21"/>
              </w:rPr>
              <w:t>第二十条第（五）项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269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信息内容</w:t>
            </w:r>
          </w:p>
        </w:tc>
        <w:tc>
          <w:tcPr>
            <w:tcW w:w="1985"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上一年项目数量</w:t>
            </w:r>
          </w:p>
        </w:tc>
        <w:tc>
          <w:tcPr>
            <w:tcW w:w="203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本年增/减</w:t>
            </w:r>
          </w:p>
        </w:tc>
        <w:tc>
          <w:tcPr>
            <w:tcW w:w="222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处理决定数量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269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行政许可</w:t>
            </w:r>
          </w:p>
        </w:tc>
        <w:tc>
          <w:tcPr>
            <w:tcW w:w="1985"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203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222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2694"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其他对外管理服务事项</w:t>
            </w:r>
          </w:p>
        </w:tc>
        <w:tc>
          <w:tcPr>
            <w:tcW w:w="1985"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default" w:ascii="仿宋_GB2312" w:hAnsi="仿宋_GB2312" w:eastAsia="仿宋_GB2312" w:cs="仿宋_GB2312"/>
                <w:spacing w:val="11"/>
                <w:sz w:val="21"/>
                <w:szCs w:val="21"/>
                <w:lang w:val="en-US" w:eastAsia="zh-CN"/>
              </w:rPr>
            </w:pPr>
            <w:r>
              <w:rPr>
                <w:rFonts w:hint="eastAsia" w:ascii="仿宋_GB2312" w:hAnsi="仿宋_GB2312" w:eastAsia="仿宋_GB2312" w:cs="仿宋_GB2312"/>
                <w:spacing w:val="11"/>
                <w:sz w:val="21"/>
                <w:szCs w:val="21"/>
                <w:lang w:val="en-US" w:eastAsia="zh-CN"/>
              </w:rPr>
              <w:t>25</w:t>
            </w:r>
          </w:p>
        </w:tc>
        <w:tc>
          <w:tcPr>
            <w:tcW w:w="203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default" w:ascii="仿宋_GB2312" w:hAnsi="仿宋_GB2312" w:eastAsia="仿宋_GB2312" w:cs="仿宋_GB2312"/>
                <w:spacing w:val="11"/>
                <w:sz w:val="21"/>
                <w:szCs w:val="21"/>
                <w:lang w:val="en-US" w:eastAsia="zh-CN"/>
              </w:rPr>
            </w:pPr>
            <w:r>
              <w:rPr>
                <w:rFonts w:hint="eastAsia" w:ascii="仿宋_GB2312" w:hAnsi="仿宋_GB2312" w:eastAsia="仿宋_GB2312" w:cs="仿宋_GB2312"/>
                <w:spacing w:val="11"/>
                <w:sz w:val="21"/>
                <w:szCs w:val="21"/>
                <w:lang w:val="en-US" w:eastAsia="zh-CN"/>
              </w:rPr>
              <w:t>0</w:t>
            </w:r>
          </w:p>
        </w:tc>
        <w:tc>
          <w:tcPr>
            <w:tcW w:w="222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lang w:val="en-US" w:eastAsia="zh-CN"/>
              </w:rPr>
            </w:pPr>
            <w:r>
              <w:rPr>
                <w:rFonts w:hint="eastAsia" w:ascii="仿宋_GB2312" w:hAnsi="仿宋_GB2312" w:eastAsia="仿宋_GB2312" w:cs="仿宋_GB2312"/>
                <w:spacing w:val="11"/>
                <w:sz w:val="21"/>
                <w:szCs w:val="21"/>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8931" w:type="dxa"/>
            <w:gridSpan w:val="4"/>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黑体" w:hAnsi="黑体" w:eastAsia="黑体" w:cs="黑体"/>
                <w:spacing w:val="11"/>
                <w:sz w:val="21"/>
                <w:szCs w:val="21"/>
              </w:rPr>
              <w:t>第二十条第（六）项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269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信息内容</w:t>
            </w:r>
          </w:p>
        </w:tc>
        <w:tc>
          <w:tcPr>
            <w:tcW w:w="1985"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上一年项目数量</w:t>
            </w:r>
          </w:p>
        </w:tc>
        <w:tc>
          <w:tcPr>
            <w:tcW w:w="203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本年增/减</w:t>
            </w:r>
          </w:p>
        </w:tc>
        <w:tc>
          <w:tcPr>
            <w:tcW w:w="222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处理决定数量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69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行政处罚</w:t>
            </w:r>
          </w:p>
        </w:tc>
        <w:tc>
          <w:tcPr>
            <w:tcW w:w="1985"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default" w:ascii="仿宋_GB2312" w:hAnsi="仿宋_GB2312" w:eastAsia="仿宋_GB2312" w:cs="仿宋_GB2312"/>
                <w:spacing w:val="11"/>
                <w:sz w:val="21"/>
                <w:szCs w:val="21"/>
                <w:lang w:val="en-US" w:eastAsia="zh-CN"/>
              </w:rPr>
            </w:pPr>
            <w:r>
              <w:rPr>
                <w:rFonts w:hint="eastAsia" w:ascii="仿宋_GB2312" w:hAnsi="仿宋_GB2312" w:eastAsia="仿宋_GB2312" w:cs="仿宋_GB2312"/>
                <w:spacing w:val="11"/>
                <w:sz w:val="21"/>
                <w:szCs w:val="21"/>
                <w:lang w:val="en-US" w:eastAsia="zh-CN"/>
              </w:rPr>
              <w:t>10</w:t>
            </w:r>
          </w:p>
        </w:tc>
        <w:tc>
          <w:tcPr>
            <w:tcW w:w="203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222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69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行政强制</w:t>
            </w:r>
          </w:p>
        </w:tc>
        <w:tc>
          <w:tcPr>
            <w:tcW w:w="1985"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lang w:eastAsia="zh-CN"/>
              </w:rPr>
            </w:pPr>
            <w:r>
              <w:rPr>
                <w:rFonts w:hint="eastAsia" w:ascii="仿宋_GB2312" w:hAnsi="仿宋_GB2312" w:eastAsia="仿宋_GB2312" w:cs="仿宋_GB2312"/>
                <w:spacing w:val="11"/>
                <w:sz w:val="21"/>
                <w:szCs w:val="21"/>
                <w:lang w:val="en-US" w:eastAsia="zh-CN"/>
              </w:rPr>
              <w:t>4</w:t>
            </w:r>
          </w:p>
        </w:tc>
        <w:tc>
          <w:tcPr>
            <w:tcW w:w="203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222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8931" w:type="dxa"/>
            <w:gridSpan w:val="4"/>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黑体" w:hAnsi="黑体" w:eastAsia="黑体" w:cs="黑体"/>
                <w:spacing w:val="11"/>
                <w:sz w:val="21"/>
                <w:szCs w:val="21"/>
              </w:rPr>
              <w:t>第二十条第（八）项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trPr>
        <w:tc>
          <w:tcPr>
            <w:tcW w:w="269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信息内容</w:t>
            </w:r>
          </w:p>
        </w:tc>
        <w:tc>
          <w:tcPr>
            <w:tcW w:w="1985"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上一年项目数量</w:t>
            </w:r>
          </w:p>
        </w:tc>
        <w:tc>
          <w:tcPr>
            <w:tcW w:w="4252" w:type="dxa"/>
            <w:gridSpan w:val="2"/>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本年增/减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269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行政事业性收费</w:t>
            </w:r>
          </w:p>
        </w:tc>
        <w:tc>
          <w:tcPr>
            <w:tcW w:w="1985"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default" w:ascii="仿宋_GB2312" w:hAnsi="仿宋_GB2312" w:eastAsia="仿宋_GB2312" w:cs="仿宋_GB2312"/>
                <w:spacing w:val="11"/>
                <w:sz w:val="21"/>
                <w:szCs w:val="21"/>
                <w:lang w:val="en-US" w:eastAsia="zh-CN"/>
              </w:rPr>
            </w:pPr>
            <w:r>
              <w:rPr>
                <w:rFonts w:hint="eastAsia" w:ascii="仿宋_GB2312" w:hAnsi="仿宋_GB2312" w:eastAsia="仿宋_GB2312" w:cs="仿宋_GB2312"/>
                <w:spacing w:val="11"/>
                <w:sz w:val="21"/>
                <w:szCs w:val="21"/>
                <w:lang w:val="en-US" w:eastAsia="zh-CN"/>
              </w:rPr>
              <w:t>2</w:t>
            </w:r>
          </w:p>
        </w:tc>
        <w:tc>
          <w:tcPr>
            <w:tcW w:w="4252" w:type="dxa"/>
            <w:gridSpan w:val="2"/>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8931" w:type="dxa"/>
            <w:gridSpan w:val="4"/>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黑体" w:hAnsi="黑体" w:eastAsia="黑体" w:cs="黑体"/>
                <w:spacing w:val="11"/>
                <w:sz w:val="21"/>
                <w:szCs w:val="21"/>
              </w:rPr>
              <w:t>第二十条第（九）项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269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信息内容</w:t>
            </w:r>
          </w:p>
        </w:tc>
        <w:tc>
          <w:tcPr>
            <w:tcW w:w="1985"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采购项目数量</w:t>
            </w:r>
          </w:p>
        </w:tc>
        <w:tc>
          <w:tcPr>
            <w:tcW w:w="4252" w:type="dxa"/>
            <w:gridSpan w:val="2"/>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采购总金额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269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政府集中采购</w:t>
            </w:r>
          </w:p>
        </w:tc>
        <w:tc>
          <w:tcPr>
            <w:tcW w:w="1985"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lang w:eastAsia="zh-CN"/>
              </w:rPr>
            </w:pPr>
            <w:r>
              <w:rPr>
                <w:rFonts w:hint="eastAsia" w:ascii="仿宋_GB2312" w:hAnsi="仿宋_GB2312" w:eastAsia="仿宋_GB2312" w:cs="仿宋_GB2312"/>
                <w:spacing w:val="11"/>
                <w:sz w:val="21"/>
                <w:szCs w:val="21"/>
                <w:lang w:val="en-US" w:eastAsia="zh-CN"/>
              </w:rPr>
              <w:t>2</w:t>
            </w:r>
          </w:p>
        </w:tc>
        <w:tc>
          <w:tcPr>
            <w:tcW w:w="4252" w:type="dxa"/>
            <w:gridSpan w:val="2"/>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default" w:ascii="仿宋_GB2312" w:hAnsi="仿宋_GB2312" w:eastAsia="仿宋_GB2312" w:cs="仿宋_GB2312"/>
                <w:spacing w:val="11"/>
                <w:sz w:val="21"/>
                <w:szCs w:val="21"/>
                <w:lang w:val="en-US" w:eastAsia="zh-CN"/>
              </w:rPr>
            </w:pPr>
            <w:r>
              <w:rPr>
                <w:rFonts w:hint="eastAsia" w:ascii="仿宋_GB2312" w:hAnsi="仿宋_GB2312" w:eastAsia="仿宋_GB2312" w:cs="仿宋_GB2312"/>
                <w:spacing w:val="11"/>
                <w:sz w:val="21"/>
                <w:szCs w:val="21"/>
                <w:lang w:val="en-US" w:eastAsia="zh-CN"/>
              </w:rPr>
              <w:t>134.8万元</w:t>
            </w:r>
          </w:p>
        </w:tc>
      </w:tr>
    </w:tbl>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rPr>
      </w:pP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黑体" w:hAnsi="黑体" w:eastAsia="黑体" w:cs="黑体"/>
          <w:spacing w:val="11"/>
          <w:sz w:val="32"/>
          <w:szCs w:val="32"/>
        </w:rPr>
      </w:pPr>
      <w:r>
        <w:rPr>
          <w:rFonts w:hint="eastAsia" w:ascii="黑体" w:hAnsi="黑体" w:eastAsia="黑体" w:cs="黑体"/>
          <w:spacing w:val="11"/>
          <w:sz w:val="32"/>
          <w:szCs w:val="32"/>
        </w:rPr>
        <w:t>三、收到和处理政府信息公开申请情况</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rPr>
      </w:pPr>
    </w:p>
    <w:tbl>
      <w:tblPr>
        <w:tblStyle w:val="4"/>
        <w:tblW w:w="9781" w:type="dxa"/>
        <w:tblInd w:w="1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6"/>
        <w:gridCol w:w="1031"/>
        <w:gridCol w:w="2693"/>
        <w:gridCol w:w="664"/>
        <w:gridCol w:w="612"/>
        <w:gridCol w:w="708"/>
        <w:gridCol w:w="709"/>
        <w:gridCol w:w="709"/>
        <w:gridCol w:w="709"/>
        <w:gridCol w:w="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4820" w:type="dxa"/>
            <w:gridSpan w:val="3"/>
            <w:vMerge w:val="restart"/>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（本列数据的勾稽关系为：第一项加第二项之和，等于第三项加第四项之和）</w:t>
            </w:r>
          </w:p>
        </w:tc>
        <w:tc>
          <w:tcPr>
            <w:tcW w:w="4961" w:type="dxa"/>
            <w:gridSpan w:val="7"/>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申请人情况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1" w:hRule="atLeast"/>
        </w:trPr>
        <w:tc>
          <w:tcPr>
            <w:tcW w:w="4820" w:type="dxa"/>
            <w:gridSpan w:val="3"/>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黑体" w:hAnsi="黑体" w:eastAsia="黑体" w:cs="黑体"/>
                <w:spacing w:val="11"/>
                <w:sz w:val="21"/>
                <w:szCs w:val="21"/>
              </w:rPr>
            </w:pPr>
          </w:p>
        </w:tc>
        <w:tc>
          <w:tcPr>
            <w:tcW w:w="664"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lang w:eastAsia="zh-CN"/>
              </w:rPr>
            </w:pPr>
            <w:r>
              <w:rPr>
                <w:rFonts w:hint="eastAsia" w:ascii="黑体" w:hAnsi="黑体" w:eastAsia="黑体" w:cs="黑体"/>
                <w:spacing w:val="11"/>
                <w:sz w:val="21"/>
                <w:szCs w:val="21"/>
                <w:lang w:eastAsia="zh-CN"/>
              </w:rPr>
              <w:t>自</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lang w:eastAsia="zh-CN"/>
              </w:rPr>
            </w:pPr>
            <w:r>
              <w:rPr>
                <w:rFonts w:hint="eastAsia" w:ascii="黑体" w:hAnsi="黑体" w:eastAsia="黑体" w:cs="黑体"/>
                <w:spacing w:val="11"/>
                <w:sz w:val="21"/>
                <w:szCs w:val="21"/>
                <w:lang w:eastAsia="zh-CN"/>
              </w:rPr>
              <w:t>然</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lang w:eastAsia="zh-CN"/>
              </w:rPr>
            </w:pPr>
            <w:r>
              <w:rPr>
                <w:rFonts w:hint="eastAsia" w:ascii="黑体" w:hAnsi="黑体" w:eastAsia="黑体" w:cs="黑体"/>
                <w:spacing w:val="11"/>
                <w:sz w:val="21"/>
                <w:szCs w:val="21"/>
                <w:lang w:eastAsia="zh-CN"/>
              </w:rPr>
              <w:t>人</w:t>
            </w:r>
          </w:p>
        </w:tc>
        <w:tc>
          <w:tcPr>
            <w:tcW w:w="3447" w:type="dxa"/>
            <w:gridSpan w:val="5"/>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法人或其他组织</w:t>
            </w:r>
          </w:p>
        </w:tc>
        <w:tc>
          <w:tcPr>
            <w:tcW w:w="850"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总计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7" w:hRule="atLeast"/>
        </w:trPr>
        <w:tc>
          <w:tcPr>
            <w:tcW w:w="4820" w:type="dxa"/>
            <w:gridSpan w:val="3"/>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664"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lang w:eastAsia="zh-CN"/>
              </w:rPr>
            </w:pPr>
            <w:r>
              <w:rPr>
                <w:rFonts w:hint="eastAsia" w:ascii="黑体" w:hAnsi="黑体" w:eastAsia="黑体" w:cs="黑体"/>
                <w:spacing w:val="11"/>
                <w:sz w:val="21"/>
                <w:szCs w:val="21"/>
                <w:lang w:eastAsia="zh-CN"/>
              </w:rPr>
              <w:t>商业企业</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科研</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机构</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社会公益组织</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法律服 务机构</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其他</w:t>
            </w:r>
          </w:p>
        </w:tc>
        <w:tc>
          <w:tcPr>
            <w:tcW w:w="850"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4820" w:type="dxa"/>
            <w:gridSpan w:val="3"/>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一、本年新收政府信息公开申请数量</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2</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4820" w:type="dxa"/>
            <w:gridSpan w:val="3"/>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二、上年结转政府信息公开申请数量</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1096" w:type="dxa"/>
            <w:vMerge w:val="restart"/>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三、本年度办理结果</w:t>
            </w:r>
          </w:p>
        </w:tc>
        <w:tc>
          <w:tcPr>
            <w:tcW w:w="3724" w:type="dxa"/>
            <w:gridSpan w:val="2"/>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（一）予以公开</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lang w:eastAsia="zh-CN"/>
              </w:rPr>
            </w:pPr>
            <w:r>
              <w:rPr>
                <w:rFonts w:hint="eastAsia" w:ascii="仿宋_GB2312" w:hAnsi="仿宋_GB2312" w:eastAsia="仿宋_GB2312" w:cs="仿宋_GB2312"/>
                <w:spacing w:val="11"/>
                <w:sz w:val="21"/>
                <w:szCs w:val="21"/>
                <w:lang w:val="en-US" w:eastAsia="zh-CN"/>
              </w:rPr>
              <w:t>1</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lang w:eastAsia="zh-CN"/>
              </w:rPr>
            </w:pPr>
            <w:r>
              <w:rPr>
                <w:rFonts w:hint="eastAsia" w:ascii="仿宋_GB2312" w:hAnsi="仿宋_GB2312" w:eastAsia="仿宋_GB2312" w:cs="仿宋_GB2312"/>
                <w:spacing w:val="11"/>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3724" w:type="dxa"/>
            <w:gridSpan w:val="2"/>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（二）部分公开（区分处理的，只计这一情形，不计其他情形）</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1031" w:type="dxa"/>
            <w:vMerge w:val="restart"/>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（三）不予公开</w:t>
            </w:r>
          </w:p>
        </w:tc>
        <w:tc>
          <w:tcPr>
            <w:tcW w:w="2693"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1．属于国家秘密</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1031"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2693"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2．其他法律行政法规禁止公开</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1031"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2693"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3．危及“三安全一稳定”</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1031"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2693"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4．保护第三方合法权益</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1031"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2693"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5．属于三类内部事务信息</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1031"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2693"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6．属于四类过程性信息</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1031"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2693"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7．属于行政执法案卷</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1031"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2693"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8．属于行政查询事项</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1031" w:type="dxa"/>
            <w:vMerge w:val="restart"/>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（四）无法提供</w:t>
            </w:r>
          </w:p>
        </w:tc>
        <w:tc>
          <w:tcPr>
            <w:tcW w:w="2693"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1．本机关不掌握相关政府信息</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lang w:eastAsia="zh-CN"/>
              </w:rPr>
            </w:pPr>
            <w:r>
              <w:rPr>
                <w:rFonts w:hint="eastAsia" w:ascii="仿宋_GB2312" w:hAnsi="仿宋_GB2312" w:eastAsia="仿宋_GB2312" w:cs="仿宋_GB2312"/>
                <w:spacing w:val="11"/>
                <w:sz w:val="21"/>
                <w:szCs w:val="21"/>
                <w:lang w:val="en-US" w:eastAsia="zh-CN"/>
              </w:rPr>
              <w:t>1</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lang w:eastAsia="zh-CN"/>
              </w:rPr>
            </w:pPr>
            <w:r>
              <w:rPr>
                <w:rFonts w:hint="eastAsia" w:ascii="仿宋_GB2312" w:hAnsi="仿宋_GB2312" w:eastAsia="仿宋_GB2312" w:cs="仿宋_GB2312"/>
                <w:spacing w:val="11"/>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1031"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2693"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2．没有现成信息需要另行制作</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1031"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2693"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3．补正后申请内容仍不明确</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1031" w:type="dxa"/>
            <w:vMerge w:val="restart"/>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（五）不予处理</w:t>
            </w:r>
          </w:p>
        </w:tc>
        <w:tc>
          <w:tcPr>
            <w:tcW w:w="2693"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1．信访举报投诉类申请</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1031"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2693"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2．重复申请</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1031"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2693"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3．要求提供公开出版物</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1031"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2693"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4．无正当理由大量反复申请</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096" w:type="dxa"/>
            <w:vMerge w:val="continue"/>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1031"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2693"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5．要求行政机关确认或重新出</w:t>
            </w:r>
          </w:p>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具已获取信息</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1096"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3724" w:type="dxa"/>
            <w:gridSpan w:val="2"/>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（六）其他处理</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1096"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p>
        </w:tc>
        <w:tc>
          <w:tcPr>
            <w:tcW w:w="3724" w:type="dxa"/>
            <w:gridSpan w:val="2"/>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（七）总计</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2</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820" w:type="dxa"/>
            <w:gridSpan w:val="3"/>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四、结转下年度继续办理</w:t>
            </w:r>
          </w:p>
        </w:tc>
        <w:tc>
          <w:tcPr>
            <w:tcW w:w="66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1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r>
    </w:tbl>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黑体" w:hAnsi="黑体" w:eastAsia="黑体" w:cs="黑体"/>
          <w:spacing w:val="11"/>
          <w:sz w:val="32"/>
          <w:szCs w:val="32"/>
        </w:rPr>
      </w:pPr>
      <w:r>
        <w:rPr>
          <w:rFonts w:hint="eastAsia" w:ascii="黑体" w:hAnsi="黑体" w:eastAsia="黑体" w:cs="黑体"/>
          <w:spacing w:val="11"/>
          <w:sz w:val="32"/>
          <w:szCs w:val="32"/>
        </w:rPr>
        <w:t>四、政府信息公开行政复议、行政诉讼情况</w:t>
      </w:r>
    </w:p>
    <w:tbl>
      <w:tblPr>
        <w:tblStyle w:val="4"/>
        <w:tblpPr w:leftFromText="180" w:rightFromText="180" w:vertAnchor="text" w:horzAnchor="page" w:tblpX="1504" w:tblpY="394"/>
        <w:tblOverlap w:val="never"/>
        <w:tblW w:w="102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9"/>
        <w:gridCol w:w="708"/>
        <w:gridCol w:w="709"/>
        <w:gridCol w:w="682"/>
        <w:gridCol w:w="594"/>
        <w:gridCol w:w="709"/>
        <w:gridCol w:w="709"/>
        <w:gridCol w:w="709"/>
        <w:gridCol w:w="708"/>
        <w:gridCol w:w="567"/>
        <w:gridCol w:w="851"/>
        <w:gridCol w:w="650"/>
        <w:gridCol w:w="767"/>
        <w:gridCol w:w="709"/>
        <w:gridCol w:w="4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3402" w:type="dxa"/>
            <w:gridSpan w:val="5"/>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行政复议</w:t>
            </w:r>
          </w:p>
        </w:tc>
        <w:tc>
          <w:tcPr>
            <w:tcW w:w="6804" w:type="dxa"/>
            <w:gridSpan w:val="10"/>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行政诉讼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709"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结果</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维持</w:t>
            </w:r>
          </w:p>
        </w:tc>
        <w:tc>
          <w:tcPr>
            <w:tcW w:w="708"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结果</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纠正</w:t>
            </w:r>
          </w:p>
        </w:tc>
        <w:tc>
          <w:tcPr>
            <w:tcW w:w="709"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其他</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结果</w:t>
            </w:r>
          </w:p>
        </w:tc>
        <w:tc>
          <w:tcPr>
            <w:tcW w:w="682"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尚未</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审结</w:t>
            </w:r>
          </w:p>
        </w:tc>
        <w:tc>
          <w:tcPr>
            <w:tcW w:w="594" w:type="dxa"/>
            <w:vMerge w:val="restart"/>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总计</w:t>
            </w:r>
          </w:p>
        </w:tc>
        <w:tc>
          <w:tcPr>
            <w:tcW w:w="3402" w:type="dxa"/>
            <w:gridSpan w:val="5"/>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未经复议直接起诉</w:t>
            </w:r>
          </w:p>
        </w:tc>
        <w:tc>
          <w:tcPr>
            <w:tcW w:w="3402" w:type="dxa"/>
            <w:gridSpan w:val="5"/>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复议后起诉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709"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黑体" w:hAnsi="黑体" w:eastAsia="黑体" w:cs="黑体"/>
                <w:spacing w:val="11"/>
                <w:sz w:val="21"/>
                <w:szCs w:val="21"/>
              </w:rPr>
            </w:pPr>
          </w:p>
        </w:tc>
        <w:tc>
          <w:tcPr>
            <w:tcW w:w="708"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黑体" w:hAnsi="黑体" w:eastAsia="黑体" w:cs="黑体"/>
                <w:spacing w:val="11"/>
                <w:sz w:val="21"/>
                <w:szCs w:val="21"/>
              </w:rPr>
            </w:pPr>
          </w:p>
        </w:tc>
        <w:tc>
          <w:tcPr>
            <w:tcW w:w="709"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黑体" w:hAnsi="黑体" w:eastAsia="黑体" w:cs="黑体"/>
                <w:spacing w:val="11"/>
                <w:sz w:val="21"/>
                <w:szCs w:val="21"/>
              </w:rPr>
            </w:pPr>
          </w:p>
        </w:tc>
        <w:tc>
          <w:tcPr>
            <w:tcW w:w="682"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黑体" w:hAnsi="黑体" w:eastAsia="黑体" w:cs="黑体"/>
                <w:spacing w:val="11"/>
                <w:sz w:val="21"/>
                <w:szCs w:val="21"/>
              </w:rPr>
            </w:pPr>
          </w:p>
        </w:tc>
        <w:tc>
          <w:tcPr>
            <w:tcW w:w="594"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center"/>
              <w:textAlignment w:val="auto"/>
              <w:rPr>
                <w:rFonts w:hint="eastAsia" w:ascii="黑体" w:hAnsi="黑体" w:eastAsia="黑体" w:cs="黑体"/>
                <w:spacing w:val="11"/>
                <w:sz w:val="21"/>
                <w:szCs w:val="21"/>
              </w:rPr>
            </w:pP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结果</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维持</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结果</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纠正</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其他</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结果</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尚未</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审结</w:t>
            </w:r>
          </w:p>
        </w:tc>
        <w:tc>
          <w:tcPr>
            <w:tcW w:w="56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总计</w:t>
            </w:r>
          </w:p>
        </w:tc>
        <w:tc>
          <w:tcPr>
            <w:tcW w:w="851"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结果</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维持</w:t>
            </w:r>
          </w:p>
        </w:tc>
        <w:tc>
          <w:tcPr>
            <w:tcW w:w="650"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结果</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纠正</w:t>
            </w:r>
          </w:p>
        </w:tc>
        <w:tc>
          <w:tcPr>
            <w:tcW w:w="767"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其他</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结果</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尚未</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黑体" w:hAnsi="黑体" w:eastAsia="黑体" w:cs="黑体"/>
                <w:spacing w:val="11"/>
                <w:sz w:val="21"/>
                <w:szCs w:val="21"/>
              </w:rPr>
            </w:pPr>
            <w:r>
              <w:rPr>
                <w:rFonts w:hint="eastAsia" w:ascii="黑体" w:hAnsi="黑体" w:eastAsia="黑体" w:cs="黑体"/>
                <w:spacing w:val="11"/>
                <w:sz w:val="21"/>
                <w:szCs w:val="21"/>
              </w:rPr>
              <w:t>审结</w:t>
            </w:r>
          </w:p>
        </w:tc>
        <w:tc>
          <w:tcPr>
            <w:tcW w:w="425" w:type="dxa"/>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rPr>
                <w:rFonts w:hint="eastAsia" w:ascii="黑体" w:hAnsi="黑体" w:eastAsia="黑体" w:cs="黑体"/>
                <w:spacing w:val="11"/>
                <w:sz w:val="21"/>
                <w:szCs w:val="21"/>
              </w:rPr>
            </w:pPr>
            <w:r>
              <w:rPr>
                <w:rFonts w:hint="eastAsia" w:ascii="黑体" w:hAnsi="黑体" w:eastAsia="黑体" w:cs="黑体"/>
                <w:spacing w:val="11"/>
                <w:sz w:val="21"/>
                <w:szCs w:val="21"/>
                <w:lang w:eastAsia="zh-CN"/>
              </w:rPr>
              <w:t>总</w:t>
            </w:r>
            <w:r>
              <w:rPr>
                <w:rFonts w:hint="eastAsia" w:ascii="黑体" w:hAnsi="黑体" w:eastAsia="黑体" w:cs="黑体"/>
                <w:spacing w:val="11"/>
                <w:sz w:val="21"/>
                <w:szCs w:val="21"/>
              </w:rPr>
              <w:t>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82"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594"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8"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567"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851"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650"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67"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709" w:type="dxa"/>
            <w:vAlign w:val="center"/>
          </w:tcPr>
          <w:p>
            <w:pPr>
              <w:keepNext w:val="0"/>
              <w:keepLines w:val="0"/>
              <w:pageBreakBefore w:val="0"/>
              <w:widowControl w:val="0"/>
              <w:kinsoku/>
              <w:wordWrap/>
              <w:overflowPunct/>
              <w:topLinePunct w:val="0"/>
              <w:autoSpaceDE w:val="0"/>
              <w:autoSpaceDN w:val="0"/>
              <w:bidi w:val="0"/>
              <w:adjustRightInd/>
              <w:snapToGrid/>
              <w:ind w:firstLine="464" w:firstLineChars="200"/>
              <w:jc w:val="both"/>
              <w:textAlignment w:val="auto"/>
              <w:rPr>
                <w:rFonts w:hint="eastAsia" w:ascii="仿宋_GB2312" w:hAnsi="仿宋_GB2312" w:eastAsia="仿宋_GB2312" w:cs="仿宋_GB2312"/>
                <w:spacing w:val="11"/>
                <w:sz w:val="21"/>
                <w:szCs w:val="21"/>
              </w:rPr>
            </w:pPr>
            <w:r>
              <w:rPr>
                <w:rFonts w:hint="eastAsia" w:ascii="仿宋_GB2312" w:hAnsi="仿宋_GB2312" w:eastAsia="仿宋_GB2312" w:cs="仿宋_GB2312"/>
                <w:spacing w:val="11"/>
                <w:sz w:val="21"/>
                <w:szCs w:val="21"/>
              </w:rPr>
              <w:t>0</w:t>
            </w:r>
          </w:p>
        </w:tc>
        <w:tc>
          <w:tcPr>
            <w:tcW w:w="425" w:type="dxa"/>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rPr>
                <w:rFonts w:hint="eastAsia" w:ascii="仿宋_GB2312" w:hAnsi="仿宋_GB2312" w:eastAsia="仿宋_GB2312" w:cs="仿宋_GB2312"/>
                <w:spacing w:val="11"/>
                <w:sz w:val="21"/>
                <w:szCs w:val="21"/>
                <w:lang w:val="en-US" w:eastAsia="zh-CN"/>
              </w:rPr>
            </w:pPr>
            <w:r>
              <w:rPr>
                <w:rFonts w:hint="eastAsia" w:ascii="仿宋_GB2312" w:hAnsi="仿宋_GB2312" w:eastAsia="仿宋_GB2312" w:cs="仿宋_GB2312"/>
                <w:spacing w:val="11"/>
                <w:sz w:val="21"/>
                <w:szCs w:val="21"/>
                <w:lang w:val="en-US" w:eastAsia="zh-CN"/>
              </w:rPr>
              <w:t>0</w:t>
            </w:r>
          </w:p>
        </w:tc>
      </w:tr>
    </w:tbl>
    <w:p>
      <w:pPr>
        <w:keepNext w:val="0"/>
        <w:keepLines w:val="0"/>
        <w:pageBreakBefore w:val="0"/>
        <w:widowControl w:val="0"/>
        <w:kinsoku/>
        <w:wordWrap/>
        <w:overflowPunct/>
        <w:topLinePunct w:val="0"/>
        <w:autoSpaceDE w:val="0"/>
        <w:autoSpaceDN w:val="0"/>
        <w:bidi w:val="0"/>
        <w:adjustRightInd/>
        <w:snapToGrid/>
        <w:ind w:left="-440" w:leftChars="-200" w:firstLine="1121" w:firstLineChars="328"/>
        <w:jc w:val="both"/>
        <w:textAlignment w:val="auto"/>
        <w:rPr>
          <w:rFonts w:hint="eastAsia" w:ascii="仿宋_GB2312" w:hAnsi="仿宋_GB2312" w:eastAsia="仿宋_GB2312" w:cs="仿宋_GB2312"/>
          <w:spacing w:val="11"/>
          <w:sz w:val="32"/>
          <w:szCs w:val="32"/>
        </w:rPr>
      </w:pP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rPr>
      </w:pPr>
      <w:r>
        <w:rPr>
          <w:rFonts w:hint="eastAsia" w:ascii="黑体" w:hAnsi="黑体" w:eastAsia="黑体" w:cs="黑体"/>
          <w:spacing w:val="11"/>
          <w:sz w:val="32"/>
          <w:szCs w:val="32"/>
        </w:rPr>
        <w:t>五、存在的主要问题及改进情况</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lang w:val="en-US" w:eastAsia="zh-CN"/>
        </w:rPr>
        <w:t>2020</w:t>
      </w:r>
      <w:r>
        <w:rPr>
          <w:rFonts w:hint="eastAsia" w:ascii="仿宋_GB2312" w:hAnsi="仿宋_GB2312" w:eastAsia="仿宋_GB2312" w:cs="仿宋_GB2312"/>
          <w:spacing w:val="11"/>
          <w:sz w:val="32"/>
          <w:szCs w:val="32"/>
        </w:rPr>
        <w:t>年，市工信局政府信息公开工作取得了一定成绩，但与市委</w:t>
      </w:r>
      <w:r>
        <w:rPr>
          <w:rFonts w:hint="eastAsia" w:ascii="仿宋_GB2312" w:hAnsi="仿宋_GB2312" w:eastAsia="仿宋_GB2312" w:cs="仿宋_GB2312"/>
          <w:spacing w:val="11"/>
          <w:sz w:val="32"/>
          <w:szCs w:val="32"/>
          <w:lang w:eastAsia="zh-CN"/>
        </w:rPr>
        <w:t>、</w:t>
      </w:r>
      <w:r>
        <w:rPr>
          <w:rFonts w:hint="eastAsia" w:ascii="仿宋_GB2312" w:hAnsi="仿宋_GB2312" w:eastAsia="仿宋_GB2312" w:cs="仿宋_GB2312"/>
          <w:spacing w:val="11"/>
          <w:sz w:val="32"/>
          <w:szCs w:val="32"/>
        </w:rPr>
        <w:t>市政府和公众期待相比还存在一定差距，一是与公众交流还不充分、形式单一；二是部门重大决策事项少、对上级政策解读力度还不够到位等，将需要在以后工作中逐步加以解决。</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下步，市工信局将在202</w:t>
      </w:r>
      <w:r>
        <w:rPr>
          <w:rFonts w:hint="eastAsia" w:ascii="仿宋_GB2312" w:hAnsi="仿宋_GB2312" w:eastAsia="仿宋_GB2312" w:cs="仿宋_GB2312"/>
          <w:spacing w:val="11"/>
          <w:sz w:val="32"/>
          <w:szCs w:val="32"/>
          <w:lang w:val="en-US" w:eastAsia="zh-CN"/>
        </w:rPr>
        <w:t>1</w:t>
      </w:r>
      <w:r>
        <w:rPr>
          <w:rFonts w:hint="eastAsia" w:ascii="仿宋_GB2312" w:hAnsi="仿宋_GB2312" w:eastAsia="仿宋_GB2312" w:cs="仿宋_GB2312"/>
          <w:spacing w:val="11"/>
          <w:sz w:val="32"/>
          <w:szCs w:val="32"/>
        </w:rPr>
        <w:t>年重点做好以下工作：一是强化责任落实。对照局信息公开指南、主动公开目录，进一步明确各各科室公开任务和工作职责，有效发挥科室业务面广、专业性强等优势，持续打造政府信息公开长效机制。二是加强重点领域和关键环节信息公开。严格按照国家和省市确定的重点领域环节，制定年度公开工作要点，重点加强权力信息公开、决策公开、管理服务公开和财政信息公开，推动政府信息公开标准化和规范化。三是强化政民互动。高度重视政民互动平台咨询和投诉问题的受理答复，做到即时受理、限期答复，实现受理率、答复率均为100</w:t>
      </w:r>
      <w:r>
        <w:rPr>
          <w:rFonts w:hint="eastAsia" w:ascii="仿宋_GB2312" w:hAnsi="仿宋_GB2312" w:eastAsia="仿宋_GB2312" w:cs="仿宋_GB2312"/>
          <w:spacing w:val="11"/>
          <w:sz w:val="32"/>
          <w:szCs w:val="32"/>
        </w:rPr>
        <w:drawing>
          <wp:inline distT="0" distB="0" distL="0" distR="0">
            <wp:extent cx="75565" cy="135890"/>
            <wp:effectExtent l="0" t="0" r="0" b="0"/>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a:picLocks noChangeAspect="1"/>
                    </pic:cNvPicPr>
                  </pic:nvPicPr>
                  <pic:blipFill>
                    <a:blip r:embed="rId10" cstate="print"/>
                    <a:stretch>
                      <a:fillRect/>
                    </a:stretch>
                  </pic:blipFill>
                  <pic:spPr>
                    <a:xfrm>
                      <a:off x="0" y="0"/>
                      <a:ext cx="76199" cy="136524"/>
                    </a:xfrm>
                    <a:prstGeom prst="rect">
                      <a:avLst/>
                    </a:prstGeom>
                  </pic:spPr>
                </pic:pic>
              </a:graphicData>
            </a:graphic>
          </wp:inline>
        </w:drawing>
      </w:r>
      <w:r>
        <w:rPr>
          <w:rFonts w:hint="eastAsia" w:ascii="仿宋_GB2312" w:hAnsi="仿宋_GB2312" w:eastAsia="仿宋_GB2312" w:cs="仿宋_GB2312"/>
          <w:spacing w:val="11"/>
          <w:sz w:val="32"/>
          <w:szCs w:val="32"/>
        </w:rPr>
        <w:t>。更多通过征集意见、邀请利益相关方列席会议等方式推动“开门决策”，回应公众诉求。四是完善各类信息公开平台。在继续用好传统报纸、电视、广播、网站、新闻发布会等公开平台的基础上，探索重新开设政务微博、政务微信等新媒体平台，全力打造多样化、立体式政府信息公开平台集群。</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黑体" w:hAnsi="黑体" w:eastAsia="黑体" w:cs="黑体"/>
          <w:spacing w:val="11"/>
          <w:sz w:val="32"/>
          <w:szCs w:val="32"/>
        </w:rPr>
      </w:pPr>
      <w:r>
        <w:rPr>
          <w:rFonts w:hint="eastAsia" w:ascii="黑体" w:hAnsi="黑体" w:eastAsia="黑体" w:cs="黑体"/>
          <w:spacing w:val="11"/>
          <w:sz w:val="32"/>
          <w:szCs w:val="32"/>
        </w:rPr>
        <w:t>六、其他需要报告的事项</w:t>
      </w:r>
    </w:p>
    <w:p>
      <w:pPr>
        <w:keepNext w:val="0"/>
        <w:keepLines w:val="0"/>
        <w:pageBreakBefore w:val="0"/>
        <w:widowControl w:val="0"/>
        <w:kinsoku/>
        <w:wordWrap/>
        <w:overflowPunct/>
        <w:topLinePunct w:val="0"/>
        <w:autoSpaceDE w:val="0"/>
        <w:autoSpaceDN w:val="0"/>
        <w:bidi w:val="0"/>
        <w:adjustRightInd/>
        <w:snapToGrid/>
        <w:ind w:firstLine="684"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无。</w:t>
      </w:r>
    </w:p>
    <w:sectPr>
      <w:footerReference r:id="rId3" w:type="default"/>
      <w:pgSz w:w="11910" w:h="16840"/>
      <w:pgMar w:top="1440" w:right="1803" w:bottom="1440" w:left="1803" w:header="0" w:footer="969" w:gutter="0"/>
      <w:cols w:equalWidth="0" w:num="1">
        <w:col w:w="10450"/>
      </w:cols>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libri">
    <w:panose1 w:val="020F0502020204030204"/>
    <w:charset w:val="86"/>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0358784" behindDoc="1" locked="0" layoutInCell="1" allowOverlap="1">
              <wp:simplePos x="0" y="0"/>
              <wp:positionH relativeFrom="page">
                <wp:posOffset>3677920</wp:posOffset>
              </wp:positionH>
              <wp:positionV relativeFrom="page">
                <wp:posOffset>9935845</wp:posOffset>
              </wp:positionV>
              <wp:extent cx="203835" cy="139700"/>
              <wp:effectExtent l="0" t="0" r="0" b="0"/>
              <wp:wrapNone/>
              <wp:docPr id="6" name="文本框 1025"/>
              <wp:cNvGraphicFramePr/>
              <a:graphic xmlns:a="http://schemas.openxmlformats.org/drawingml/2006/main">
                <a:graphicData uri="http://schemas.microsoft.com/office/word/2010/wordprocessingShape">
                  <wps:wsp>
                    <wps:cNvSpPr txBox="1"/>
                    <wps:spPr>
                      <a:xfrm>
                        <a:off x="0" y="0"/>
                        <a:ext cx="20383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 xml:space="preserve">- </w:t>
                          </w:r>
                          <w:r>
                            <w:fldChar w:fldCharType="begin"/>
                          </w:r>
                          <w:r>
                            <w:rPr>
                              <w:rFonts w:ascii="Calibri"/>
                              <w:sz w:val="18"/>
                            </w:rPr>
                            <w:instrText xml:space="preserve"> PAGE </w:instrText>
                          </w:r>
                          <w:r>
                            <w:fldChar w:fldCharType="separate"/>
                          </w:r>
                          <w:r>
                            <w:t>1</w:t>
                          </w:r>
                          <w:r>
                            <w:fldChar w:fldCharType="end"/>
                          </w:r>
                          <w:r>
                            <w:rPr>
                              <w:rFonts w:ascii="Calibri"/>
                              <w:sz w:val="18"/>
                            </w:rPr>
                            <w:t xml:space="preserve"> -</w:t>
                          </w:r>
                        </w:p>
                      </w:txbxContent>
                    </wps:txbx>
                    <wps:bodyPr lIns="0" tIns="0" rIns="0" bIns="0" upright="1"/>
                  </wps:wsp>
                </a:graphicData>
              </a:graphic>
            </wp:anchor>
          </w:drawing>
        </mc:Choice>
        <mc:Fallback>
          <w:pict>
            <v:shape id="文本框 1025" o:spid="_x0000_s1026" o:spt="202" type="#_x0000_t202" style="position:absolute;left:0pt;margin-left:289.6pt;margin-top:782.35pt;height:11pt;width:16.05pt;mso-position-horizontal-relative:page;mso-position-vertical-relative:page;z-index:-252957696;mso-width-relative:page;mso-height-relative:page;" filled="f" stroked="f" coordsize="21600,21600" o:gfxdata="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POMCFtsAAAANAQAADwAA&#10;AAAAAAABACAAAAAiAAAAZHJzL2Rvd25yZXYueG1sUEsBAhQAFAAAAAgAh07iQBQCOeahAQAAJgMA&#10;AA4AAAAAAAAAAQAgAAAAKgEAAGRycy9lMm9Eb2MueG1sUEsFBgAAAAAGAAYAWQEAAD0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 xml:space="preserve">- </w:t>
                    </w:r>
                    <w:r>
                      <w:fldChar w:fldCharType="begin"/>
                    </w:r>
                    <w:r>
                      <w:rPr>
                        <w:rFonts w:ascii="Calibri"/>
                        <w:sz w:val="18"/>
                      </w:rPr>
                      <w:instrText xml:space="preserve"> PAGE </w:instrText>
                    </w:r>
                    <w:r>
                      <w:fldChar w:fldCharType="separate"/>
                    </w:r>
                    <w:r>
                      <w:t>1</w:t>
                    </w:r>
                    <w:r>
                      <w:fldChar w:fldCharType="end"/>
                    </w:r>
                    <w:r>
                      <w:rPr>
                        <w:rFonts w:ascii="Calibri"/>
                        <w:sz w:val="1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720"/>
  <w:drawingGridHorizontalSpacing w:val="220"/>
  <w:drawingGridVerticalSpacing w:val="159"/>
  <w:displayHorizontalDrawingGridEvery w:val="1"/>
  <w:displayVerticalDrawingGridEvery w:val="1"/>
  <w:noPunctuationKerning w:val="1"/>
  <w:characterSpacingControl w:val="doNotCompress"/>
  <w:hdrShapeDefaults>
    <o:shapelayout v:ext="edit">
      <o:idmap v:ext="edit" data="3,4"/>
    </o:shapelayout>
  </w:hdrShapeDefault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6B24B16"/>
    <w:rsid w:val="6B2C708B"/>
    <w:rsid w:val="77E817A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65"/>
      <w:ind w:left="615" w:right="1156"/>
      <w:jc w:val="center"/>
      <w:outlineLvl w:val="1"/>
    </w:pPr>
    <w:rPr>
      <w:rFonts w:ascii="宋体" w:hAnsi="宋体" w:eastAsia="宋体" w:cs="宋体"/>
      <w:sz w:val="36"/>
      <w:szCs w:val="36"/>
      <w:lang w:val="zh-CN" w:eastAsia="zh-CN" w:bidi="zh-CN"/>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214"/>
      <w:ind w:left="800"/>
    </w:pPr>
    <w:rPr>
      <w:rFonts w:ascii="宋体" w:hAnsi="宋体" w:eastAsia="宋体" w:cs="宋体"/>
      <w:sz w:val="32"/>
      <w:szCs w:val="32"/>
      <w:lang w:val="zh-CN" w:eastAsia="zh-CN" w:bidi="zh-CN"/>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pPr>
      <w:spacing w:before="28"/>
      <w:ind w:left="107"/>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TotalTime>
  <ScaleCrop>false</ScaleCrop>
  <LinksUpToDate>false</LinksUpToDate>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2021-02-01T05:36:00Z</dcterms:created>
  <dc:creator>China</dc:creator>
  <cp:lastModifiedBy>Administrator</cp:lastModifiedBy>
  <dcterms:modified xsi:type="dcterms:W3CDTF">2021-02-18T02:43:43Z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2020-01-19T00:00:00Z</vt:filetime>
  </property>
  <property fmtid="{D5CDD505-2E9C-101B-9397-08002B2CF9AE}" pid="3" name="Creator">
    <vt:lpwstr>WPS Office</vt:lpwstr>
  </property>
  <property fmtid="{D5CDD505-2E9C-101B-9397-08002B2CF9AE}" pid="4" name="LastSaved">
    <vt:filetime>2021-02-01T00:00:00Z</vt:filetime>
  </property>
  <property fmtid="{D5CDD505-2E9C-101B-9397-08002B2CF9AE}" pid="5" name="KSOProductBuildVer">
    <vt:lpwstr>2052-11.1.0.9740</vt:lpwstr>
  </property>
  <property fmtid="{D5CDD505-2E9C-101B-9397-08002B2CF9AE}" pid="6" name="KSOSaveFontToCloudKey">
    <vt:lpwstr>540004326_btnclosed</vt:lpwstr>
  </property>
</Properties>
</file>